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48746E">
        <w:rPr>
          <w:b/>
          <w:sz w:val="36"/>
          <w:szCs w:val="36"/>
        </w:rPr>
        <w:t>English - Extension</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3023BF" w:rsidRDefault="003023BF"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3023BF" w:rsidRPr="003023BF" w:rsidRDefault="003023BF" w:rsidP="003023BF">
      <w:pPr>
        <w:pStyle w:val="BodyText"/>
        <w:spacing w:after="100" w:line="276" w:lineRule="auto"/>
        <w:jc w:val="both"/>
        <w:rPr>
          <w:rFonts w:ascii="Arial" w:hAnsi="Arial" w:cs="Arial"/>
          <w:b w:val="0"/>
          <w:sz w:val="20"/>
          <w:szCs w:val="20"/>
        </w:rPr>
      </w:pPr>
      <w:r w:rsidRPr="003023BF">
        <w:rPr>
          <w:noProof/>
          <w:sz w:val="20"/>
          <w:szCs w:val="20"/>
          <w:lang w:eastAsia="en-AU"/>
        </w:rPr>
        <w:drawing>
          <wp:anchor distT="0" distB="0" distL="114300" distR="114300" simplePos="0" relativeHeight="251662336" behindDoc="0" locked="0" layoutInCell="1" allowOverlap="1" wp14:anchorId="2531A595" wp14:editId="7CAA123A">
            <wp:simplePos x="0" y="0"/>
            <wp:positionH relativeFrom="margin">
              <wp:posOffset>4958080</wp:posOffset>
            </wp:positionH>
            <wp:positionV relativeFrom="margin">
              <wp:posOffset>2038350</wp:posOffset>
            </wp:positionV>
            <wp:extent cx="1219200" cy="1304925"/>
            <wp:effectExtent l="0" t="0" r="0"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3BF">
        <w:rPr>
          <w:rFonts w:ascii="Arial" w:hAnsi="Arial" w:cs="Arial"/>
          <w:b w:val="0"/>
          <w:sz w:val="20"/>
          <w:szCs w:val="20"/>
        </w:rPr>
        <w:t xml:space="preserve">In the </w:t>
      </w:r>
      <w:r w:rsidRPr="003023BF">
        <w:rPr>
          <w:rFonts w:ascii="Arial" w:hAnsi="Arial" w:cs="Arial"/>
          <w:b w:val="0"/>
          <w:i/>
          <w:sz w:val="20"/>
          <w:szCs w:val="20"/>
        </w:rPr>
        <w:t>Preliminary English (Extension)</w:t>
      </w:r>
      <w:r w:rsidRPr="003023BF">
        <w:rPr>
          <w:rFonts w:ascii="Arial" w:hAnsi="Arial" w:cs="Arial"/>
          <w:b w:val="0"/>
          <w:sz w:val="20"/>
          <w:szCs w:val="20"/>
        </w:rPr>
        <w:t xml:space="preserve"> Course, students explore how and why texts are valued in and appropriated into a range of contexts. They consider why some texts may be perceived as culturally significant.</w:t>
      </w:r>
    </w:p>
    <w:p w:rsidR="003023BF" w:rsidRPr="003023BF" w:rsidRDefault="003023BF" w:rsidP="003023BF">
      <w:pPr>
        <w:pStyle w:val="BodyText"/>
        <w:spacing w:after="100" w:line="276" w:lineRule="auto"/>
        <w:jc w:val="both"/>
        <w:rPr>
          <w:rFonts w:ascii="Arial" w:hAnsi="Arial" w:cs="Arial"/>
          <w:b w:val="0"/>
          <w:sz w:val="20"/>
          <w:szCs w:val="20"/>
        </w:rPr>
      </w:pPr>
      <w:r w:rsidRPr="003023BF">
        <w:rPr>
          <w:rFonts w:ascii="Arial" w:hAnsi="Arial" w:cs="Arial"/>
          <w:b w:val="0"/>
          <w:sz w:val="20"/>
          <w:szCs w:val="20"/>
        </w:rPr>
        <w:t xml:space="preserve">In </w:t>
      </w:r>
      <w:r w:rsidRPr="003023BF">
        <w:rPr>
          <w:rFonts w:ascii="Arial" w:hAnsi="Arial" w:cs="Arial"/>
          <w:b w:val="0"/>
          <w:i/>
          <w:sz w:val="20"/>
          <w:szCs w:val="20"/>
        </w:rPr>
        <w:t>HSC English Extension Course 1</w:t>
      </w:r>
      <w:r w:rsidRPr="003023BF">
        <w:rPr>
          <w:rFonts w:ascii="Arial" w:hAnsi="Arial" w:cs="Arial"/>
          <w:b w:val="0"/>
          <w:sz w:val="20"/>
          <w:szCs w:val="20"/>
        </w:rPr>
        <w:t>, students explore ideas of value and consider how cultural values and systems of valuation arise.</w:t>
      </w:r>
    </w:p>
    <w:p w:rsidR="003023BF" w:rsidRPr="003023BF" w:rsidRDefault="003023BF" w:rsidP="003023BF">
      <w:pPr>
        <w:pStyle w:val="BodyText"/>
        <w:spacing w:line="276" w:lineRule="auto"/>
        <w:jc w:val="both"/>
        <w:rPr>
          <w:rFonts w:ascii="Arial" w:hAnsi="Arial" w:cs="Arial"/>
          <w:b w:val="0"/>
          <w:sz w:val="20"/>
          <w:szCs w:val="20"/>
        </w:rPr>
      </w:pPr>
      <w:r w:rsidRPr="003023BF">
        <w:rPr>
          <w:rFonts w:ascii="Arial" w:hAnsi="Arial" w:cs="Arial"/>
          <w:b w:val="0"/>
          <w:sz w:val="20"/>
          <w:szCs w:val="20"/>
        </w:rPr>
        <w:t xml:space="preserve">In </w:t>
      </w:r>
      <w:r w:rsidRPr="003023BF">
        <w:rPr>
          <w:rFonts w:ascii="Arial" w:hAnsi="Arial" w:cs="Arial"/>
          <w:b w:val="0"/>
          <w:i/>
          <w:sz w:val="20"/>
          <w:szCs w:val="20"/>
        </w:rPr>
        <w:t>HSC English Extension Course 2</w:t>
      </w:r>
      <w:r w:rsidRPr="003023BF">
        <w:rPr>
          <w:rFonts w:ascii="Arial" w:hAnsi="Arial" w:cs="Arial"/>
          <w:b w:val="0"/>
          <w:sz w:val="20"/>
          <w:szCs w:val="20"/>
        </w:rPr>
        <w:t>, students develop a sustained composition, and document their reflection on this process.</w:t>
      </w:r>
    </w:p>
    <w:p w:rsidR="003023BF" w:rsidRDefault="003023BF" w:rsidP="003023BF">
      <w:pPr>
        <w:pStyle w:val="BodyText"/>
        <w:spacing w:line="276" w:lineRule="auto"/>
        <w:jc w:val="both"/>
        <w:rPr>
          <w:rFonts w:ascii="Arial" w:hAnsi="Arial" w:cs="Arial"/>
          <w:sz w:val="20"/>
          <w:szCs w:val="20"/>
        </w:rPr>
      </w:pPr>
    </w:p>
    <w:p w:rsidR="003023BF" w:rsidRPr="003023BF" w:rsidRDefault="003023BF" w:rsidP="003023BF">
      <w:pPr>
        <w:pStyle w:val="BodyText"/>
        <w:spacing w:line="276" w:lineRule="auto"/>
        <w:jc w:val="both"/>
        <w:rPr>
          <w:rFonts w:ascii="Arial" w:hAnsi="Arial" w:cs="Arial"/>
          <w:sz w:val="20"/>
          <w:szCs w:val="20"/>
        </w:rPr>
      </w:pPr>
    </w:p>
    <w:p w:rsidR="003023BF" w:rsidRPr="003023BF" w:rsidRDefault="003023BF" w:rsidP="003023BF">
      <w:pPr>
        <w:pStyle w:val="BodyText"/>
        <w:spacing w:line="276" w:lineRule="auto"/>
        <w:jc w:val="both"/>
        <w:rPr>
          <w:rFonts w:ascii="Arial" w:hAnsi="Arial" w:cs="Arial"/>
          <w:sz w:val="20"/>
          <w:szCs w:val="20"/>
        </w:rPr>
      </w:pPr>
      <w:r w:rsidRPr="003023BF">
        <w:rPr>
          <w:rFonts w:ascii="Arial" w:hAnsi="Arial" w:cs="Arial"/>
          <w:sz w:val="20"/>
          <w:szCs w:val="20"/>
        </w:rPr>
        <w:t>MAIN TOPICS COVERED</w:t>
      </w:r>
    </w:p>
    <w:p w:rsidR="003023BF" w:rsidRPr="003023BF" w:rsidRDefault="003023BF" w:rsidP="003023BF">
      <w:pPr>
        <w:pStyle w:val="BodyText"/>
        <w:spacing w:line="276" w:lineRule="auto"/>
        <w:jc w:val="both"/>
        <w:rPr>
          <w:rFonts w:ascii="Arial" w:hAnsi="Arial" w:cs="Arial"/>
          <w:b w:val="0"/>
          <w:sz w:val="20"/>
          <w:szCs w:val="20"/>
        </w:rPr>
      </w:pPr>
    </w:p>
    <w:p w:rsidR="003023BF" w:rsidRPr="003023BF" w:rsidRDefault="003023BF" w:rsidP="003023BF">
      <w:pPr>
        <w:pStyle w:val="BodyText"/>
        <w:spacing w:line="276" w:lineRule="auto"/>
        <w:jc w:val="both"/>
        <w:rPr>
          <w:rFonts w:ascii="Arial" w:hAnsi="Arial" w:cs="Arial"/>
          <w:b w:val="0"/>
          <w:i/>
          <w:sz w:val="20"/>
          <w:szCs w:val="20"/>
        </w:rPr>
      </w:pPr>
      <w:r w:rsidRPr="003023BF">
        <w:rPr>
          <w:rFonts w:ascii="Arial" w:hAnsi="Arial" w:cs="Arial"/>
          <w:b w:val="0"/>
          <w:i/>
          <w:sz w:val="20"/>
          <w:szCs w:val="20"/>
        </w:rPr>
        <w:t>Preliminary Extension Course</w:t>
      </w:r>
    </w:p>
    <w:p w:rsidR="003023BF" w:rsidRPr="003023BF" w:rsidRDefault="003023BF" w:rsidP="003023BF">
      <w:pPr>
        <w:pStyle w:val="BodyText"/>
        <w:spacing w:line="276" w:lineRule="auto"/>
        <w:jc w:val="both"/>
        <w:rPr>
          <w:rFonts w:ascii="Arial" w:hAnsi="Arial" w:cs="Arial"/>
          <w:sz w:val="20"/>
          <w:szCs w:val="20"/>
        </w:rPr>
      </w:pPr>
      <w:r w:rsidRPr="003023BF">
        <w:rPr>
          <w:rFonts w:ascii="Arial" w:hAnsi="Arial" w:cs="Arial"/>
          <w:sz w:val="20"/>
          <w:szCs w:val="20"/>
        </w:rPr>
        <w:t>The course has one mandatory section: Module: Texts, Culture and Value.</w:t>
      </w:r>
    </w:p>
    <w:p w:rsidR="003023BF" w:rsidRPr="003023BF" w:rsidRDefault="003023BF" w:rsidP="003023BF">
      <w:pPr>
        <w:pStyle w:val="BodyText"/>
        <w:spacing w:line="276" w:lineRule="auto"/>
        <w:jc w:val="both"/>
        <w:rPr>
          <w:rFonts w:ascii="Arial" w:hAnsi="Arial" w:cs="Arial"/>
          <w:b w:val="0"/>
          <w:sz w:val="20"/>
          <w:szCs w:val="20"/>
        </w:rPr>
      </w:pPr>
    </w:p>
    <w:p w:rsidR="003023BF" w:rsidRPr="003023BF" w:rsidRDefault="003023BF" w:rsidP="003023BF">
      <w:pPr>
        <w:pStyle w:val="BodyText"/>
        <w:spacing w:line="276" w:lineRule="auto"/>
        <w:jc w:val="both"/>
        <w:rPr>
          <w:sz w:val="20"/>
          <w:szCs w:val="20"/>
        </w:rPr>
      </w:pPr>
    </w:p>
    <w:p w:rsidR="003023BF" w:rsidRPr="003023BF" w:rsidRDefault="003023BF" w:rsidP="003023BF">
      <w:pPr>
        <w:pStyle w:val="BodyText"/>
        <w:spacing w:line="276" w:lineRule="auto"/>
        <w:jc w:val="both"/>
        <w:rPr>
          <w:rFonts w:ascii="Arial" w:hAnsi="Arial" w:cs="Arial"/>
          <w:sz w:val="20"/>
          <w:szCs w:val="20"/>
        </w:rPr>
      </w:pPr>
      <w:r w:rsidRPr="003023BF">
        <w:rPr>
          <w:rFonts w:ascii="Arial" w:hAnsi="Arial" w:cs="Arial"/>
          <w:sz w:val="20"/>
          <w:szCs w:val="20"/>
        </w:rPr>
        <w:t>COURSE REQUIREMENTS</w:t>
      </w:r>
    </w:p>
    <w:p w:rsidR="003023BF" w:rsidRPr="003023BF" w:rsidRDefault="003023BF" w:rsidP="003023BF">
      <w:pPr>
        <w:pStyle w:val="BodyText"/>
        <w:spacing w:line="276" w:lineRule="auto"/>
        <w:jc w:val="both"/>
        <w:rPr>
          <w:rFonts w:ascii="Arial" w:hAnsi="Arial" w:cs="Arial"/>
          <w:b w:val="0"/>
          <w:sz w:val="20"/>
          <w:szCs w:val="20"/>
        </w:rPr>
      </w:pPr>
    </w:p>
    <w:p w:rsidR="003023BF" w:rsidRDefault="003023BF" w:rsidP="003023BF">
      <w:pPr>
        <w:pStyle w:val="BodyText"/>
        <w:spacing w:line="276" w:lineRule="auto"/>
        <w:jc w:val="both"/>
        <w:rPr>
          <w:rFonts w:ascii="Arial" w:hAnsi="Arial" w:cs="Arial"/>
          <w:b w:val="0"/>
          <w:sz w:val="20"/>
          <w:szCs w:val="20"/>
        </w:rPr>
      </w:pPr>
      <w:r w:rsidRPr="003023BF">
        <w:rPr>
          <w:rFonts w:ascii="Arial" w:hAnsi="Arial" w:cs="Arial"/>
          <w:b w:val="0"/>
          <w:sz w:val="20"/>
          <w:szCs w:val="20"/>
        </w:rPr>
        <w:t xml:space="preserve">In the </w:t>
      </w:r>
      <w:r w:rsidRPr="003023BF">
        <w:rPr>
          <w:rFonts w:ascii="Arial" w:hAnsi="Arial" w:cs="Arial"/>
          <w:b w:val="0"/>
          <w:i/>
          <w:sz w:val="20"/>
          <w:szCs w:val="20"/>
        </w:rPr>
        <w:t>Preliminary English (Extension)</w:t>
      </w:r>
      <w:r w:rsidRPr="003023BF">
        <w:rPr>
          <w:rFonts w:ascii="Arial" w:hAnsi="Arial" w:cs="Arial"/>
          <w:b w:val="0"/>
          <w:sz w:val="20"/>
          <w:szCs w:val="20"/>
        </w:rPr>
        <w:t xml:space="preserve"> </w:t>
      </w:r>
      <w:r w:rsidRPr="003023BF">
        <w:rPr>
          <w:rFonts w:ascii="Arial" w:hAnsi="Arial" w:cs="Arial"/>
          <w:b w:val="0"/>
          <w:i/>
          <w:sz w:val="20"/>
          <w:szCs w:val="20"/>
        </w:rPr>
        <w:t>Course</w:t>
      </w:r>
      <w:r w:rsidRPr="003023BF">
        <w:rPr>
          <w:rFonts w:ascii="Arial" w:hAnsi="Arial" w:cs="Arial"/>
          <w:b w:val="0"/>
          <w:sz w:val="20"/>
          <w:szCs w:val="20"/>
        </w:rPr>
        <w:t xml:space="preserve"> students are required to examine a key text from the past and its manifestations in one or more popular cultures. Students also explore, analyse and critically evaluate different examples of such appropriations in a range of contexts and media.</w:t>
      </w:r>
    </w:p>
    <w:p w:rsidR="003023BF" w:rsidRDefault="003023BF" w:rsidP="003023BF">
      <w:pPr>
        <w:pStyle w:val="BodyText"/>
        <w:spacing w:line="276" w:lineRule="auto"/>
        <w:jc w:val="both"/>
        <w:rPr>
          <w:rFonts w:ascii="Arial" w:hAnsi="Arial" w:cs="Arial"/>
          <w:b w:val="0"/>
          <w:sz w:val="20"/>
          <w:szCs w:val="20"/>
        </w:rPr>
      </w:pPr>
    </w:p>
    <w:p w:rsidR="003023BF" w:rsidRDefault="003023BF" w:rsidP="003023BF">
      <w:pPr>
        <w:pStyle w:val="BodyText"/>
        <w:spacing w:line="276" w:lineRule="auto"/>
        <w:jc w:val="both"/>
        <w:rPr>
          <w:rFonts w:ascii="Arial" w:hAnsi="Arial" w:cs="Arial"/>
          <w:b w:val="0"/>
          <w:sz w:val="20"/>
          <w:szCs w:val="20"/>
        </w:rPr>
      </w:pPr>
    </w:p>
    <w:p w:rsidR="003023BF" w:rsidRPr="001F2396" w:rsidRDefault="003023BF" w:rsidP="003023BF">
      <w:pPr>
        <w:rPr>
          <w:b/>
        </w:rPr>
      </w:pPr>
      <w:r w:rsidRPr="001F2396">
        <w:rPr>
          <w:b/>
        </w:rPr>
        <w:t>SYLLABUS OUTCOMES</w:t>
      </w:r>
    </w:p>
    <w:p w:rsidR="003023BF" w:rsidRPr="003023BF" w:rsidRDefault="003023BF" w:rsidP="003023BF"/>
    <w:p w:rsidR="003023BF" w:rsidRPr="003023BF" w:rsidRDefault="003023BF" w:rsidP="003023BF">
      <w:pPr>
        <w:pStyle w:val="NoSpacing"/>
        <w:spacing w:before="120" w:line="276" w:lineRule="auto"/>
        <w:rPr>
          <w:szCs w:val="20"/>
        </w:rPr>
      </w:pPr>
      <w:r w:rsidRPr="003023BF">
        <w:rPr>
          <w:b/>
          <w:szCs w:val="20"/>
        </w:rPr>
        <w:t>P1</w:t>
      </w:r>
      <w:r w:rsidRPr="003023BF">
        <w:rPr>
          <w:szCs w:val="20"/>
        </w:rPr>
        <w:tab/>
        <w:t>A student understands how and why texts are valued in and appropriated into a range of contexts.</w:t>
      </w:r>
    </w:p>
    <w:p w:rsidR="003023BF" w:rsidRPr="003023BF" w:rsidRDefault="003023BF" w:rsidP="003023BF">
      <w:pPr>
        <w:pStyle w:val="NoSpacing"/>
        <w:spacing w:before="120" w:line="276" w:lineRule="auto"/>
        <w:ind w:left="720" w:hanging="720"/>
        <w:rPr>
          <w:szCs w:val="20"/>
        </w:rPr>
      </w:pPr>
      <w:r w:rsidRPr="003023BF">
        <w:rPr>
          <w:b/>
          <w:szCs w:val="20"/>
        </w:rPr>
        <w:t>P2</w:t>
      </w:r>
      <w:r w:rsidRPr="003023BF">
        <w:rPr>
          <w:szCs w:val="20"/>
        </w:rPr>
        <w:tab/>
        <w:t>A student develops skills in independent investigation, involving particular texts and their manifestations in various forms, and within particular cultural contexts.</w:t>
      </w:r>
    </w:p>
    <w:p w:rsidR="003023BF" w:rsidRPr="003023BF" w:rsidRDefault="003023BF" w:rsidP="003023BF">
      <w:pPr>
        <w:pStyle w:val="NoSpacing"/>
        <w:spacing w:before="120" w:line="276" w:lineRule="auto"/>
        <w:ind w:left="720" w:hanging="720"/>
        <w:rPr>
          <w:szCs w:val="20"/>
        </w:rPr>
      </w:pPr>
      <w:r w:rsidRPr="003023BF">
        <w:rPr>
          <w:b/>
          <w:szCs w:val="20"/>
        </w:rPr>
        <w:t>P3</w:t>
      </w:r>
      <w:r w:rsidRPr="003023BF">
        <w:rPr>
          <w:szCs w:val="20"/>
        </w:rPr>
        <w:tab/>
        <w:t>A student develops skills in extended composition in a range of modes and media for different audiences and purposes.</w:t>
      </w:r>
    </w:p>
    <w:p w:rsidR="003023BF" w:rsidRPr="003023BF" w:rsidRDefault="003023BF" w:rsidP="003023BF"/>
    <w:p w:rsidR="003023BF" w:rsidRPr="003023BF" w:rsidRDefault="003023BF" w:rsidP="003023BF"/>
    <w:p w:rsidR="003023BF" w:rsidRPr="001F2396" w:rsidRDefault="003023BF" w:rsidP="003023BF">
      <w:pPr>
        <w:rPr>
          <w:b/>
        </w:rPr>
      </w:pPr>
      <w:proofErr w:type="spellStart"/>
      <w:r w:rsidRPr="003023BF">
        <w:rPr>
          <w:b/>
        </w:rPr>
        <w:t>BOSTES</w:t>
      </w:r>
      <w:proofErr w:type="spellEnd"/>
      <w:r w:rsidRPr="001F2396">
        <w:rPr>
          <w:b/>
        </w:rPr>
        <w:t xml:space="preserve"> </w:t>
      </w:r>
      <w:r>
        <w:rPr>
          <w:b/>
        </w:rPr>
        <w:t xml:space="preserve">PRELIMINARY </w:t>
      </w:r>
      <w:r w:rsidRPr="001F2396">
        <w:rPr>
          <w:b/>
        </w:rPr>
        <w:t>ASSESSMENT INFORMATION</w:t>
      </w:r>
    </w:p>
    <w:p w:rsidR="003023BF" w:rsidRPr="00290579" w:rsidRDefault="003023BF" w:rsidP="003023BF">
      <w:pPr>
        <w:rPr>
          <w:sz w:val="18"/>
          <w:szCs w:val="18"/>
        </w:rPr>
      </w:pPr>
    </w:p>
    <w:tbl>
      <w:tblPr>
        <w:tblStyle w:val="TableGrid"/>
        <w:tblW w:w="9889" w:type="dxa"/>
        <w:tblLook w:val="04A0" w:firstRow="1" w:lastRow="0" w:firstColumn="1" w:lastColumn="0" w:noHBand="0" w:noVBand="1"/>
      </w:tblPr>
      <w:tblGrid>
        <w:gridCol w:w="8330"/>
        <w:gridCol w:w="1559"/>
      </w:tblGrid>
      <w:tr w:rsidR="003023BF" w:rsidRPr="00290579" w:rsidTr="00520168">
        <w:tc>
          <w:tcPr>
            <w:tcW w:w="8330" w:type="dxa"/>
            <w:tcBorders>
              <w:left w:val="single" w:sz="4" w:space="0" w:color="auto"/>
              <w:bottom w:val="double" w:sz="4" w:space="0" w:color="C00000"/>
            </w:tcBorders>
            <w:shd w:val="clear" w:color="auto" w:fill="E5DFEC" w:themeFill="accent4" w:themeFillTint="33"/>
            <w:vAlign w:val="center"/>
          </w:tcPr>
          <w:p w:rsidR="003023BF" w:rsidRPr="00290579" w:rsidRDefault="003023BF" w:rsidP="00520168">
            <w:pPr>
              <w:autoSpaceDE w:val="0"/>
              <w:autoSpaceDN w:val="0"/>
              <w:adjustRightInd w:val="0"/>
              <w:jc w:val="center"/>
              <w:rPr>
                <w:color w:val="000000"/>
                <w:sz w:val="16"/>
                <w:szCs w:val="16"/>
              </w:rPr>
            </w:pPr>
            <w:r>
              <w:rPr>
                <w:b/>
                <w:bCs/>
                <w:color w:val="000000"/>
                <w:sz w:val="16"/>
                <w:szCs w:val="16"/>
              </w:rPr>
              <w:t>Components</w:t>
            </w:r>
          </w:p>
        </w:tc>
        <w:tc>
          <w:tcPr>
            <w:tcW w:w="1559" w:type="dxa"/>
            <w:tcBorders>
              <w:bottom w:val="double" w:sz="4" w:space="0" w:color="C00000"/>
            </w:tcBorders>
            <w:shd w:val="clear" w:color="auto" w:fill="E5DFEC" w:themeFill="accent4" w:themeFillTint="33"/>
            <w:vAlign w:val="center"/>
          </w:tcPr>
          <w:p w:rsidR="003023BF" w:rsidRPr="00290579" w:rsidRDefault="003023BF" w:rsidP="00520168">
            <w:pPr>
              <w:autoSpaceDE w:val="0"/>
              <w:autoSpaceDN w:val="0"/>
              <w:adjustRightInd w:val="0"/>
              <w:jc w:val="center"/>
              <w:rPr>
                <w:color w:val="000000"/>
                <w:sz w:val="16"/>
                <w:szCs w:val="16"/>
              </w:rPr>
            </w:pPr>
            <w:r w:rsidRPr="00290579">
              <w:rPr>
                <w:b/>
                <w:bCs/>
                <w:color w:val="000000"/>
                <w:sz w:val="16"/>
                <w:szCs w:val="16"/>
              </w:rPr>
              <w:t>Weighting</w:t>
            </w:r>
          </w:p>
        </w:tc>
      </w:tr>
      <w:tr w:rsidR="003023BF" w:rsidRPr="00290579" w:rsidTr="003023BF">
        <w:trPr>
          <w:trHeight w:val="405"/>
        </w:trPr>
        <w:tc>
          <w:tcPr>
            <w:tcW w:w="8330" w:type="dxa"/>
            <w:tcBorders>
              <w:left w:val="single" w:sz="4" w:space="0" w:color="auto"/>
            </w:tcBorders>
            <w:vAlign w:val="center"/>
          </w:tcPr>
          <w:p w:rsidR="003023BF" w:rsidRPr="00BF2E35" w:rsidRDefault="003023BF" w:rsidP="003023BF">
            <w:pPr>
              <w:autoSpaceDE w:val="0"/>
              <w:autoSpaceDN w:val="0"/>
              <w:adjustRightInd w:val="0"/>
              <w:rPr>
                <w:color w:val="000000"/>
                <w:sz w:val="16"/>
                <w:szCs w:val="16"/>
              </w:rPr>
            </w:pPr>
            <w:r w:rsidRPr="00BF2E35">
              <w:rPr>
                <w:color w:val="000000"/>
                <w:sz w:val="16"/>
                <w:szCs w:val="16"/>
              </w:rPr>
              <w:t xml:space="preserve">Knowledge and understanding of complex texts and of how and why they are valued </w:t>
            </w:r>
          </w:p>
        </w:tc>
        <w:tc>
          <w:tcPr>
            <w:tcW w:w="1559" w:type="dxa"/>
            <w:vAlign w:val="center"/>
          </w:tcPr>
          <w:p w:rsidR="003023BF" w:rsidRPr="00BF2E35" w:rsidRDefault="003023BF" w:rsidP="003023BF">
            <w:pPr>
              <w:autoSpaceDE w:val="0"/>
              <w:autoSpaceDN w:val="0"/>
              <w:adjustRightInd w:val="0"/>
              <w:jc w:val="center"/>
              <w:rPr>
                <w:color w:val="000000"/>
                <w:sz w:val="16"/>
                <w:szCs w:val="16"/>
              </w:rPr>
            </w:pPr>
            <w:r w:rsidRPr="00BF2E35">
              <w:rPr>
                <w:color w:val="000000"/>
                <w:sz w:val="16"/>
                <w:szCs w:val="16"/>
              </w:rPr>
              <w:t>25</w:t>
            </w:r>
          </w:p>
        </w:tc>
      </w:tr>
      <w:tr w:rsidR="003023BF" w:rsidRPr="00290579" w:rsidTr="003023BF">
        <w:trPr>
          <w:trHeight w:val="843"/>
        </w:trPr>
        <w:tc>
          <w:tcPr>
            <w:tcW w:w="8330" w:type="dxa"/>
            <w:tcBorders>
              <w:left w:val="single" w:sz="4" w:space="0" w:color="auto"/>
              <w:bottom w:val="single" w:sz="4" w:space="0" w:color="auto"/>
            </w:tcBorders>
            <w:vAlign w:val="center"/>
          </w:tcPr>
          <w:p w:rsidR="003023BF" w:rsidRDefault="003023BF" w:rsidP="003023BF">
            <w:pPr>
              <w:autoSpaceDE w:val="0"/>
              <w:autoSpaceDN w:val="0"/>
              <w:adjustRightInd w:val="0"/>
              <w:rPr>
                <w:color w:val="000000"/>
                <w:sz w:val="16"/>
                <w:szCs w:val="16"/>
              </w:rPr>
            </w:pPr>
            <w:r w:rsidRPr="00BF2E35">
              <w:rPr>
                <w:color w:val="000000"/>
                <w:sz w:val="16"/>
                <w:szCs w:val="16"/>
              </w:rPr>
              <w:t xml:space="preserve">Skills in: </w:t>
            </w:r>
          </w:p>
          <w:p w:rsidR="003023BF" w:rsidRDefault="003023BF" w:rsidP="003023BF">
            <w:pPr>
              <w:autoSpaceDE w:val="0"/>
              <w:autoSpaceDN w:val="0"/>
              <w:adjustRightInd w:val="0"/>
              <w:ind w:left="567"/>
              <w:rPr>
                <w:color w:val="000000"/>
                <w:sz w:val="16"/>
                <w:szCs w:val="16"/>
              </w:rPr>
            </w:pPr>
            <w:r w:rsidRPr="00BF2E35">
              <w:rPr>
                <w:color w:val="000000"/>
                <w:sz w:val="16"/>
                <w:szCs w:val="16"/>
              </w:rPr>
              <w:t xml:space="preserve">• complex analysis </w:t>
            </w:r>
          </w:p>
          <w:p w:rsidR="003023BF" w:rsidRDefault="003023BF" w:rsidP="003023BF">
            <w:pPr>
              <w:autoSpaceDE w:val="0"/>
              <w:autoSpaceDN w:val="0"/>
              <w:adjustRightInd w:val="0"/>
              <w:ind w:left="567"/>
              <w:rPr>
                <w:color w:val="000000"/>
                <w:sz w:val="16"/>
                <w:szCs w:val="16"/>
              </w:rPr>
            </w:pPr>
            <w:r w:rsidRPr="00BF2E35">
              <w:rPr>
                <w:color w:val="000000"/>
                <w:sz w:val="16"/>
                <w:szCs w:val="16"/>
              </w:rPr>
              <w:t xml:space="preserve">• sustained composition </w:t>
            </w:r>
          </w:p>
          <w:p w:rsidR="003023BF" w:rsidRPr="00BF2E35" w:rsidRDefault="003023BF" w:rsidP="003023BF">
            <w:pPr>
              <w:autoSpaceDE w:val="0"/>
              <w:autoSpaceDN w:val="0"/>
              <w:adjustRightInd w:val="0"/>
              <w:ind w:left="567"/>
              <w:rPr>
                <w:color w:val="000000"/>
                <w:sz w:val="16"/>
                <w:szCs w:val="16"/>
              </w:rPr>
            </w:pPr>
            <w:r w:rsidRPr="00BF2E35">
              <w:rPr>
                <w:color w:val="000000"/>
                <w:sz w:val="16"/>
                <w:szCs w:val="16"/>
              </w:rPr>
              <w:t xml:space="preserve">• independent investigation </w:t>
            </w:r>
          </w:p>
        </w:tc>
        <w:tc>
          <w:tcPr>
            <w:tcW w:w="1559" w:type="dxa"/>
            <w:vAlign w:val="center"/>
          </w:tcPr>
          <w:p w:rsidR="003023BF" w:rsidRPr="00BF2E35" w:rsidRDefault="003023BF" w:rsidP="00520168">
            <w:pPr>
              <w:autoSpaceDE w:val="0"/>
              <w:autoSpaceDN w:val="0"/>
              <w:adjustRightInd w:val="0"/>
              <w:jc w:val="center"/>
              <w:rPr>
                <w:color w:val="000000"/>
                <w:sz w:val="16"/>
                <w:szCs w:val="16"/>
              </w:rPr>
            </w:pPr>
            <w:r w:rsidRPr="00BF2E35">
              <w:rPr>
                <w:color w:val="000000"/>
                <w:sz w:val="16"/>
                <w:szCs w:val="16"/>
              </w:rPr>
              <w:t xml:space="preserve">25 </w:t>
            </w:r>
          </w:p>
        </w:tc>
      </w:tr>
      <w:tr w:rsidR="003023BF" w:rsidRPr="00290579" w:rsidTr="00520168">
        <w:trPr>
          <w:trHeight w:val="317"/>
        </w:trPr>
        <w:tc>
          <w:tcPr>
            <w:tcW w:w="8330" w:type="dxa"/>
            <w:tcBorders>
              <w:left w:val="nil"/>
              <w:bottom w:val="nil"/>
            </w:tcBorders>
            <w:shd w:val="clear" w:color="auto" w:fill="FFFFFF" w:themeFill="background1"/>
            <w:vAlign w:val="center"/>
          </w:tcPr>
          <w:p w:rsidR="003023BF" w:rsidRPr="004A0C77" w:rsidRDefault="003023BF" w:rsidP="00520168">
            <w:pPr>
              <w:autoSpaceDE w:val="0"/>
              <w:autoSpaceDN w:val="0"/>
              <w:adjustRightInd w:val="0"/>
              <w:rPr>
                <w:b/>
                <w:color w:val="000000"/>
                <w:sz w:val="16"/>
                <w:szCs w:val="16"/>
              </w:rPr>
            </w:pPr>
          </w:p>
        </w:tc>
        <w:tc>
          <w:tcPr>
            <w:tcW w:w="1559" w:type="dxa"/>
            <w:shd w:val="clear" w:color="auto" w:fill="FDE9D9" w:themeFill="accent6" w:themeFillTint="33"/>
            <w:vAlign w:val="center"/>
          </w:tcPr>
          <w:p w:rsidR="003023BF" w:rsidRPr="004A0C77" w:rsidRDefault="003023BF" w:rsidP="00520168">
            <w:pPr>
              <w:autoSpaceDE w:val="0"/>
              <w:autoSpaceDN w:val="0"/>
              <w:adjustRightInd w:val="0"/>
              <w:jc w:val="center"/>
              <w:rPr>
                <w:b/>
                <w:color w:val="000000"/>
                <w:sz w:val="16"/>
                <w:szCs w:val="16"/>
              </w:rPr>
            </w:pPr>
            <w:r w:rsidRPr="004A0C77">
              <w:rPr>
                <w:b/>
                <w:color w:val="000000"/>
                <w:sz w:val="16"/>
                <w:szCs w:val="16"/>
              </w:rPr>
              <w:t>50</w:t>
            </w:r>
          </w:p>
        </w:tc>
      </w:tr>
    </w:tbl>
    <w:p w:rsidR="003023BF" w:rsidRDefault="003023BF" w:rsidP="003023BF"/>
    <w:p w:rsidR="003023BF" w:rsidRDefault="003023BF" w:rsidP="003023BF"/>
    <w:p w:rsidR="003023BF" w:rsidRDefault="003023BF" w:rsidP="003023BF"/>
    <w:p w:rsidR="00CC0F8A" w:rsidRDefault="00CC0F8A" w:rsidP="00CC0F8A">
      <w:pPr>
        <w:pStyle w:val="BodyText"/>
        <w:spacing w:line="276" w:lineRule="auto"/>
        <w:rPr>
          <w:rFonts w:ascii="Arial" w:hAnsi="Arial" w:cs="Arial"/>
          <w:sz w:val="20"/>
          <w:szCs w:val="20"/>
        </w:rPr>
      </w:pPr>
      <w:r>
        <w:rPr>
          <w:rFonts w:ascii="Arial" w:hAnsi="Arial" w:cs="Arial"/>
          <w:sz w:val="20"/>
          <w:szCs w:val="20"/>
        </w:rPr>
        <w:t>EVIDENCE OF LEARNING (Assessment)</w:t>
      </w:r>
    </w:p>
    <w:p w:rsidR="003023BF" w:rsidRDefault="003023BF" w:rsidP="003023BF"/>
    <w:tbl>
      <w:tblPr>
        <w:tblStyle w:val="TableGrid"/>
        <w:tblW w:w="9889" w:type="dxa"/>
        <w:tblLayout w:type="fixed"/>
        <w:tblLook w:val="04A0" w:firstRow="1" w:lastRow="0" w:firstColumn="1" w:lastColumn="0" w:noHBand="0" w:noVBand="1"/>
      </w:tblPr>
      <w:tblGrid>
        <w:gridCol w:w="534"/>
        <w:gridCol w:w="1275"/>
        <w:gridCol w:w="2127"/>
        <w:gridCol w:w="2268"/>
        <w:gridCol w:w="992"/>
        <w:gridCol w:w="1063"/>
        <w:gridCol w:w="1063"/>
        <w:gridCol w:w="567"/>
      </w:tblGrid>
      <w:tr w:rsidR="003023BF" w:rsidTr="00520168">
        <w:trPr>
          <w:trHeight w:val="283"/>
        </w:trPr>
        <w:tc>
          <w:tcPr>
            <w:tcW w:w="534" w:type="dxa"/>
            <w:vMerge w:val="restart"/>
            <w:tcBorders>
              <w:bottom w:val="double" w:sz="4" w:space="0" w:color="C00000"/>
            </w:tcBorders>
            <w:shd w:val="clear" w:color="auto" w:fill="8DB3E2" w:themeFill="text2" w:themeFillTint="66"/>
            <w:vAlign w:val="center"/>
          </w:tcPr>
          <w:p w:rsidR="003023BF" w:rsidRPr="001E3236" w:rsidRDefault="003023BF" w:rsidP="00520168">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3023BF" w:rsidRPr="00A62DF0" w:rsidRDefault="003023BF" w:rsidP="00520168">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3023BF" w:rsidRPr="00A62DF0" w:rsidRDefault="003023BF" w:rsidP="00520168">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3023BF" w:rsidRPr="00A62DF0" w:rsidRDefault="003023BF" w:rsidP="00520168">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3023BF" w:rsidRPr="00A62DF0" w:rsidRDefault="003023BF" w:rsidP="00520168">
            <w:pPr>
              <w:jc w:val="center"/>
              <w:rPr>
                <w:b/>
                <w:sz w:val="16"/>
                <w:szCs w:val="16"/>
              </w:rPr>
            </w:pPr>
            <w:r>
              <w:rPr>
                <w:b/>
                <w:sz w:val="16"/>
                <w:szCs w:val="16"/>
              </w:rPr>
              <w:t>Date Due</w:t>
            </w:r>
          </w:p>
        </w:tc>
        <w:tc>
          <w:tcPr>
            <w:tcW w:w="2126" w:type="dxa"/>
            <w:gridSpan w:val="2"/>
            <w:tcBorders>
              <w:bottom w:val="single" w:sz="4" w:space="0" w:color="auto"/>
            </w:tcBorders>
            <w:shd w:val="clear" w:color="auto" w:fill="8DB3E2" w:themeFill="text2" w:themeFillTint="66"/>
            <w:vAlign w:val="center"/>
          </w:tcPr>
          <w:p w:rsidR="003023BF" w:rsidRPr="00A62DF0" w:rsidRDefault="003023BF" w:rsidP="00520168">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3023BF" w:rsidRPr="00A62DF0" w:rsidRDefault="003023BF" w:rsidP="00520168">
            <w:pPr>
              <w:jc w:val="center"/>
              <w:rPr>
                <w:b/>
                <w:sz w:val="16"/>
                <w:szCs w:val="16"/>
              </w:rPr>
            </w:pPr>
            <w:r w:rsidRPr="007C4D79">
              <w:rPr>
                <w:b/>
                <w:sz w:val="12"/>
                <w:szCs w:val="16"/>
              </w:rPr>
              <w:t>Marks</w:t>
            </w:r>
          </w:p>
        </w:tc>
      </w:tr>
      <w:tr w:rsidR="003023BF" w:rsidTr="00520168">
        <w:tc>
          <w:tcPr>
            <w:tcW w:w="534" w:type="dxa"/>
            <w:vMerge/>
            <w:tcBorders>
              <w:bottom w:val="double" w:sz="4" w:space="0" w:color="C00000"/>
            </w:tcBorders>
          </w:tcPr>
          <w:p w:rsidR="003023BF" w:rsidRDefault="003023BF" w:rsidP="00520168"/>
        </w:tc>
        <w:tc>
          <w:tcPr>
            <w:tcW w:w="1275" w:type="dxa"/>
            <w:vMerge/>
            <w:tcBorders>
              <w:bottom w:val="double" w:sz="4" w:space="0" w:color="C00000"/>
            </w:tcBorders>
          </w:tcPr>
          <w:p w:rsidR="003023BF" w:rsidRDefault="003023BF" w:rsidP="00520168"/>
        </w:tc>
        <w:tc>
          <w:tcPr>
            <w:tcW w:w="2127" w:type="dxa"/>
            <w:vMerge/>
            <w:tcBorders>
              <w:bottom w:val="double" w:sz="4" w:space="0" w:color="C00000"/>
            </w:tcBorders>
          </w:tcPr>
          <w:p w:rsidR="003023BF" w:rsidRDefault="003023BF" w:rsidP="00520168"/>
        </w:tc>
        <w:tc>
          <w:tcPr>
            <w:tcW w:w="2268" w:type="dxa"/>
            <w:vMerge/>
            <w:tcBorders>
              <w:bottom w:val="double" w:sz="4" w:space="0" w:color="C00000"/>
            </w:tcBorders>
          </w:tcPr>
          <w:p w:rsidR="003023BF" w:rsidRDefault="003023BF" w:rsidP="00520168"/>
        </w:tc>
        <w:tc>
          <w:tcPr>
            <w:tcW w:w="992" w:type="dxa"/>
            <w:vMerge/>
            <w:tcBorders>
              <w:bottom w:val="double" w:sz="4" w:space="0" w:color="C00000"/>
            </w:tcBorders>
            <w:shd w:val="clear" w:color="auto" w:fill="B8CCE4" w:themeFill="accent1" w:themeFillTint="66"/>
          </w:tcPr>
          <w:p w:rsidR="003023BF" w:rsidRPr="00A62DF0" w:rsidRDefault="003023BF" w:rsidP="00520168">
            <w:pPr>
              <w:jc w:val="center"/>
              <w:rPr>
                <w:sz w:val="16"/>
                <w:szCs w:val="16"/>
              </w:rPr>
            </w:pPr>
          </w:p>
        </w:tc>
        <w:tc>
          <w:tcPr>
            <w:tcW w:w="1063" w:type="dxa"/>
            <w:tcBorders>
              <w:bottom w:val="double" w:sz="4" w:space="0" w:color="C00000"/>
            </w:tcBorders>
            <w:shd w:val="clear" w:color="auto" w:fill="B8CCE4" w:themeFill="accent1" w:themeFillTint="66"/>
            <w:vAlign w:val="center"/>
          </w:tcPr>
          <w:p w:rsidR="003023BF" w:rsidRPr="00A62DF0" w:rsidRDefault="003023BF" w:rsidP="00520168">
            <w:pPr>
              <w:jc w:val="center"/>
              <w:rPr>
                <w:sz w:val="16"/>
                <w:szCs w:val="16"/>
              </w:rPr>
            </w:pPr>
            <w:r w:rsidRPr="00A62DF0">
              <w:rPr>
                <w:sz w:val="16"/>
                <w:szCs w:val="16"/>
              </w:rPr>
              <w:t>A</w:t>
            </w:r>
          </w:p>
        </w:tc>
        <w:tc>
          <w:tcPr>
            <w:tcW w:w="1063" w:type="dxa"/>
            <w:tcBorders>
              <w:bottom w:val="double" w:sz="4" w:space="0" w:color="C00000"/>
            </w:tcBorders>
            <w:shd w:val="clear" w:color="auto" w:fill="B8CCE4" w:themeFill="accent1" w:themeFillTint="66"/>
            <w:vAlign w:val="center"/>
          </w:tcPr>
          <w:p w:rsidR="003023BF" w:rsidRPr="00A62DF0" w:rsidRDefault="003023BF" w:rsidP="00520168">
            <w:pPr>
              <w:jc w:val="center"/>
              <w:rPr>
                <w:sz w:val="16"/>
                <w:szCs w:val="16"/>
              </w:rPr>
            </w:pPr>
            <w:r w:rsidRPr="00A62DF0">
              <w:rPr>
                <w:sz w:val="16"/>
                <w:szCs w:val="16"/>
              </w:rPr>
              <w:t>B</w:t>
            </w:r>
          </w:p>
        </w:tc>
        <w:tc>
          <w:tcPr>
            <w:tcW w:w="567" w:type="dxa"/>
            <w:vMerge/>
            <w:tcBorders>
              <w:bottom w:val="double" w:sz="4" w:space="0" w:color="C00000"/>
            </w:tcBorders>
          </w:tcPr>
          <w:p w:rsidR="003023BF" w:rsidRDefault="003023BF" w:rsidP="00520168"/>
        </w:tc>
      </w:tr>
      <w:tr w:rsidR="003023BF" w:rsidTr="00520168">
        <w:trPr>
          <w:trHeight w:val="552"/>
        </w:trPr>
        <w:tc>
          <w:tcPr>
            <w:tcW w:w="534" w:type="dxa"/>
            <w:tcBorders>
              <w:top w:val="double" w:sz="4" w:space="0" w:color="C00000"/>
            </w:tcBorders>
            <w:vAlign w:val="center"/>
          </w:tcPr>
          <w:p w:rsidR="003023BF" w:rsidRPr="00A62DF0" w:rsidRDefault="003023BF" w:rsidP="00520168">
            <w:pPr>
              <w:jc w:val="center"/>
              <w:rPr>
                <w:sz w:val="16"/>
                <w:szCs w:val="16"/>
              </w:rPr>
            </w:pPr>
            <w:r>
              <w:rPr>
                <w:sz w:val="16"/>
                <w:szCs w:val="16"/>
              </w:rPr>
              <w:t>1</w:t>
            </w:r>
          </w:p>
        </w:tc>
        <w:tc>
          <w:tcPr>
            <w:tcW w:w="1275" w:type="dxa"/>
            <w:tcBorders>
              <w:top w:val="double" w:sz="4" w:space="0" w:color="C00000"/>
            </w:tcBorders>
            <w:vAlign w:val="center"/>
          </w:tcPr>
          <w:p w:rsidR="003023BF" w:rsidRPr="00A62DF0" w:rsidRDefault="003023BF" w:rsidP="00520168">
            <w:pPr>
              <w:rPr>
                <w:sz w:val="16"/>
                <w:szCs w:val="16"/>
              </w:rPr>
            </w:pPr>
            <w:r>
              <w:rPr>
                <w:sz w:val="16"/>
                <w:szCs w:val="16"/>
              </w:rPr>
              <w:t xml:space="preserve">P – 4 </w:t>
            </w:r>
          </w:p>
        </w:tc>
        <w:tc>
          <w:tcPr>
            <w:tcW w:w="2127" w:type="dxa"/>
            <w:tcBorders>
              <w:top w:val="double" w:sz="4" w:space="0" w:color="C00000"/>
            </w:tcBorders>
            <w:vAlign w:val="center"/>
          </w:tcPr>
          <w:p w:rsidR="003023BF" w:rsidRPr="00A62DF0" w:rsidRDefault="003023BF" w:rsidP="00520168">
            <w:pPr>
              <w:rPr>
                <w:sz w:val="16"/>
                <w:szCs w:val="16"/>
              </w:rPr>
            </w:pPr>
            <w:r>
              <w:rPr>
                <w:sz w:val="16"/>
                <w:szCs w:val="16"/>
              </w:rPr>
              <w:t>Texts and ways of thinking</w:t>
            </w:r>
          </w:p>
        </w:tc>
        <w:tc>
          <w:tcPr>
            <w:tcW w:w="2268" w:type="dxa"/>
            <w:tcBorders>
              <w:top w:val="double" w:sz="4" w:space="0" w:color="C00000"/>
            </w:tcBorders>
            <w:vAlign w:val="center"/>
          </w:tcPr>
          <w:p w:rsidR="003023BF" w:rsidRPr="00A62DF0" w:rsidRDefault="003023BF" w:rsidP="00520168">
            <w:pPr>
              <w:rPr>
                <w:sz w:val="16"/>
                <w:szCs w:val="16"/>
              </w:rPr>
            </w:pPr>
            <w:r>
              <w:rPr>
                <w:sz w:val="16"/>
                <w:szCs w:val="16"/>
              </w:rPr>
              <w:t xml:space="preserve">Creative Writing </w:t>
            </w:r>
          </w:p>
        </w:tc>
        <w:tc>
          <w:tcPr>
            <w:tcW w:w="992" w:type="dxa"/>
            <w:tcBorders>
              <w:top w:val="double" w:sz="4" w:space="0" w:color="C00000"/>
            </w:tcBorders>
            <w:vAlign w:val="center"/>
          </w:tcPr>
          <w:p w:rsidR="003023BF" w:rsidRDefault="003023BF" w:rsidP="00520168">
            <w:pPr>
              <w:rPr>
                <w:sz w:val="16"/>
                <w:szCs w:val="16"/>
              </w:rPr>
            </w:pPr>
            <w:r>
              <w:rPr>
                <w:sz w:val="16"/>
                <w:szCs w:val="16"/>
              </w:rPr>
              <w:t>Term 1</w:t>
            </w:r>
          </w:p>
          <w:p w:rsidR="003023BF" w:rsidRPr="00A62DF0" w:rsidRDefault="003023BF" w:rsidP="00520168">
            <w:pPr>
              <w:rPr>
                <w:sz w:val="16"/>
                <w:szCs w:val="16"/>
              </w:rPr>
            </w:pPr>
            <w:r>
              <w:rPr>
                <w:sz w:val="16"/>
                <w:szCs w:val="16"/>
              </w:rPr>
              <w:t>Week 6</w:t>
            </w:r>
          </w:p>
        </w:tc>
        <w:tc>
          <w:tcPr>
            <w:tcW w:w="1063" w:type="dxa"/>
            <w:tcBorders>
              <w:top w:val="double" w:sz="4" w:space="0" w:color="C00000"/>
            </w:tcBorders>
            <w:vAlign w:val="center"/>
          </w:tcPr>
          <w:p w:rsidR="003023BF" w:rsidRPr="00B46BD4" w:rsidRDefault="003023BF" w:rsidP="00520168">
            <w:pPr>
              <w:jc w:val="center"/>
              <w:rPr>
                <w:sz w:val="12"/>
                <w:szCs w:val="16"/>
              </w:rPr>
            </w:pPr>
          </w:p>
        </w:tc>
        <w:tc>
          <w:tcPr>
            <w:tcW w:w="1063" w:type="dxa"/>
            <w:tcBorders>
              <w:top w:val="double" w:sz="4" w:space="0" w:color="C00000"/>
            </w:tcBorders>
            <w:vAlign w:val="center"/>
          </w:tcPr>
          <w:p w:rsidR="003023BF" w:rsidRPr="00B46BD4" w:rsidRDefault="003023BF" w:rsidP="00520168">
            <w:pPr>
              <w:jc w:val="center"/>
              <w:rPr>
                <w:sz w:val="12"/>
                <w:szCs w:val="16"/>
              </w:rPr>
            </w:pPr>
            <w:r>
              <w:rPr>
                <w:sz w:val="12"/>
                <w:szCs w:val="16"/>
              </w:rPr>
              <w:t>15%</w:t>
            </w:r>
          </w:p>
        </w:tc>
        <w:tc>
          <w:tcPr>
            <w:tcW w:w="567" w:type="dxa"/>
            <w:tcBorders>
              <w:top w:val="double" w:sz="4" w:space="0" w:color="C00000"/>
            </w:tcBorders>
            <w:vAlign w:val="center"/>
          </w:tcPr>
          <w:p w:rsidR="003023BF" w:rsidRPr="00A62DF0" w:rsidRDefault="003023BF" w:rsidP="00520168">
            <w:pPr>
              <w:jc w:val="center"/>
              <w:rPr>
                <w:sz w:val="16"/>
                <w:szCs w:val="16"/>
              </w:rPr>
            </w:pPr>
            <w:r>
              <w:rPr>
                <w:sz w:val="16"/>
                <w:szCs w:val="16"/>
              </w:rPr>
              <w:t>15%</w:t>
            </w:r>
          </w:p>
        </w:tc>
      </w:tr>
      <w:tr w:rsidR="003023BF" w:rsidTr="00520168">
        <w:trPr>
          <w:trHeight w:val="552"/>
        </w:trPr>
        <w:tc>
          <w:tcPr>
            <w:tcW w:w="534" w:type="dxa"/>
            <w:vAlign w:val="center"/>
          </w:tcPr>
          <w:p w:rsidR="003023BF" w:rsidRPr="00A62DF0" w:rsidRDefault="003023BF" w:rsidP="00520168">
            <w:pPr>
              <w:jc w:val="center"/>
              <w:rPr>
                <w:sz w:val="16"/>
                <w:szCs w:val="16"/>
              </w:rPr>
            </w:pPr>
            <w:r>
              <w:rPr>
                <w:sz w:val="16"/>
                <w:szCs w:val="16"/>
              </w:rPr>
              <w:t>2</w:t>
            </w:r>
          </w:p>
        </w:tc>
        <w:tc>
          <w:tcPr>
            <w:tcW w:w="1275" w:type="dxa"/>
            <w:vAlign w:val="center"/>
          </w:tcPr>
          <w:p w:rsidR="003023BF" w:rsidRPr="00A62DF0" w:rsidRDefault="003023BF" w:rsidP="00520168">
            <w:pPr>
              <w:rPr>
                <w:sz w:val="16"/>
                <w:szCs w:val="16"/>
              </w:rPr>
            </w:pPr>
            <w:r>
              <w:rPr>
                <w:sz w:val="16"/>
                <w:szCs w:val="16"/>
              </w:rPr>
              <w:t xml:space="preserve">P – 2 </w:t>
            </w:r>
          </w:p>
        </w:tc>
        <w:tc>
          <w:tcPr>
            <w:tcW w:w="2127" w:type="dxa"/>
            <w:vAlign w:val="center"/>
          </w:tcPr>
          <w:p w:rsidR="003023BF" w:rsidRPr="00A62DF0" w:rsidRDefault="003023BF" w:rsidP="00520168">
            <w:pPr>
              <w:rPr>
                <w:sz w:val="16"/>
                <w:szCs w:val="16"/>
              </w:rPr>
            </w:pPr>
            <w:r>
              <w:rPr>
                <w:sz w:val="16"/>
                <w:szCs w:val="16"/>
              </w:rPr>
              <w:t>Texts and ways of thinking</w:t>
            </w:r>
          </w:p>
        </w:tc>
        <w:tc>
          <w:tcPr>
            <w:tcW w:w="2268" w:type="dxa"/>
            <w:vAlign w:val="center"/>
          </w:tcPr>
          <w:p w:rsidR="003023BF" w:rsidRPr="00A62DF0" w:rsidRDefault="003023BF" w:rsidP="00520168">
            <w:pPr>
              <w:rPr>
                <w:sz w:val="16"/>
                <w:szCs w:val="16"/>
              </w:rPr>
            </w:pPr>
            <w:r>
              <w:rPr>
                <w:sz w:val="16"/>
                <w:szCs w:val="16"/>
              </w:rPr>
              <w:t>Seminar Presentation</w:t>
            </w:r>
          </w:p>
        </w:tc>
        <w:tc>
          <w:tcPr>
            <w:tcW w:w="992" w:type="dxa"/>
            <w:vAlign w:val="center"/>
          </w:tcPr>
          <w:p w:rsidR="003023BF" w:rsidRDefault="003023BF" w:rsidP="00520168">
            <w:pPr>
              <w:rPr>
                <w:sz w:val="16"/>
                <w:szCs w:val="16"/>
              </w:rPr>
            </w:pPr>
            <w:r>
              <w:rPr>
                <w:sz w:val="16"/>
                <w:szCs w:val="16"/>
              </w:rPr>
              <w:t>Term 1</w:t>
            </w:r>
          </w:p>
          <w:p w:rsidR="003023BF" w:rsidRPr="00A62DF0" w:rsidRDefault="003023BF" w:rsidP="00520168">
            <w:pPr>
              <w:rPr>
                <w:sz w:val="16"/>
                <w:szCs w:val="16"/>
              </w:rPr>
            </w:pPr>
            <w:r>
              <w:rPr>
                <w:sz w:val="16"/>
                <w:szCs w:val="16"/>
              </w:rPr>
              <w:t>Week 10</w:t>
            </w:r>
          </w:p>
        </w:tc>
        <w:tc>
          <w:tcPr>
            <w:tcW w:w="1063" w:type="dxa"/>
            <w:vAlign w:val="center"/>
          </w:tcPr>
          <w:p w:rsidR="003023BF" w:rsidRPr="00B46BD4" w:rsidRDefault="003023BF" w:rsidP="00520168">
            <w:pPr>
              <w:jc w:val="center"/>
              <w:rPr>
                <w:sz w:val="12"/>
                <w:szCs w:val="16"/>
              </w:rPr>
            </w:pPr>
            <w:r>
              <w:rPr>
                <w:sz w:val="12"/>
                <w:szCs w:val="16"/>
              </w:rPr>
              <w:t>5%</w:t>
            </w:r>
          </w:p>
        </w:tc>
        <w:tc>
          <w:tcPr>
            <w:tcW w:w="1063" w:type="dxa"/>
            <w:vAlign w:val="center"/>
          </w:tcPr>
          <w:p w:rsidR="003023BF" w:rsidRPr="00B46BD4" w:rsidRDefault="003023BF" w:rsidP="00520168">
            <w:pPr>
              <w:jc w:val="center"/>
              <w:rPr>
                <w:sz w:val="12"/>
                <w:szCs w:val="16"/>
              </w:rPr>
            </w:pPr>
            <w:r>
              <w:rPr>
                <w:sz w:val="12"/>
                <w:szCs w:val="16"/>
              </w:rPr>
              <w:t>10%</w:t>
            </w:r>
          </w:p>
        </w:tc>
        <w:tc>
          <w:tcPr>
            <w:tcW w:w="567" w:type="dxa"/>
            <w:vAlign w:val="center"/>
          </w:tcPr>
          <w:p w:rsidR="003023BF" w:rsidRPr="00A62DF0" w:rsidRDefault="003023BF" w:rsidP="00520168">
            <w:pPr>
              <w:jc w:val="center"/>
              <w:rPr>
                <w:sz w:val="16"/>
                <w:szCs w:val="16"/>
              </w:rPr>
            </w:pPr>
            <w:r>
              <w:rPr>
                <w:sz w:val="16"/>
                <w:szCs w:val="16"/>
              </w:rPr>
              <w:t>15%</w:t>
            </w:r>
          </w:p>
        </w:tc>
      </w:tr>
      <w:tr w:rsidR="003023BF" w:rsidTr="00520168">
        <w:trPr>
          <w:trHeight w:val="552"/>
        </w:trPr>
        <w:tc>
          <w:tcPr>
            <w:tcW w:w="534" w:type="dxa"/>
            <w:vAlign w:val="center"/>
          </w:tcPr>
          <w:p w:rsidR="003023BF" w:rsidRPr="00A62DF0" w:rsidRDefault="003023BF" w:rsidP="00520168">
            <w:pPr>
              <w:jc w:val="center"/>
              <w:rPr>
                <w:sz w:val="16"/>
                <w:szCs w:val="16"/>
              </w:rPr>
            </w:pPr>
            <w:r>
              <w:rPr>
                <w:sz w:val="16"/>
                <w:szCs w:val="16"/>
              </w:rPr>
              <w:t>3</w:t>
            </w:r>
          </w:p>
        </w:tc>
        <w:tc>
          <w:tcPr>
            <w:tcW w:w="1275" w:type="dxa"/>
            <w:vAlign w:val="center"/>
          </w:tcPr>
          <w:p w:rsidR="003023BF" w:rsidRPr="00A62DF0" w:rsidRDefault="003023BF" w:rsidP="00520168">
            <w:pPr>
              <w:rPr>
                <w:sz w:val="16"/>
                <w:szCs w:val="16"/>
              </w:rPr>
            </w:pPr>
            <w:r>
              <w:rPr>
                <w:sz w:val="16"/>
                <w:szCs w:val="16"/>
              </w:rPr>
              <w:t xml:space="preserve">P – 3 </w:t>
            </w:r>
          </w:p>
        </w:tc>
        <w:tc>
          <w:tcPr>
            <w:tcW w:w="2127" w:type="dxa"/>
            <w:vAlign w:val="center"/>
          </w:tcPr>
          <w:p w:rsidR="003023BF" w:rsidRPr="00A62DF0" w:rsidRDefault="003023BF" w:rsidP="00520168">
            <w:pPr>
              <w:rPr>
                <w:sz w:val="16"/>
                <w:szCs w:val="16"/>
              </w:rPr>
            </w:pPr>
            <w:r>
              <w:rPr>
                <w:sz w:val="16"/>
                <w:szCs w:val="16"/>
              </w:rPr>
              <w:t>Texts and ways of thinking</w:t>
            </w:r>
          </w:p>
        </w:tc>
        <w:tc>
          <w:tcPr>
            <w:tcW w:w="2268" w:type="dxa"/>
            <w:vAlign w:val="center"/>
          </w:tcPr>
          <w:p w:rsidR="003023BF" w:rsidRPr="00A62DF0" w:rsidRDefault="003023BF" w:rsidP="00520168">
            <w:pPr>
              <w:rPr>
                <w:sz w:val="16"/>
                <w:szCs w:val="16"/>
              </w:rPr>
            </w:pPr>
            <w:r>
              <w:rPr>
                <w:sz w:val="16"/>
                <w:szCs w:val="16"/>
              </w:rPr>
              <w:t>Representation Project</w:t>
            </w:r>
          </w:p>
        </w:tc>
        <w:tc>
          <w:tcPr>
            <w:tcW w:w="992" w:type="dxa"/>
            <w:vAlign w:val="center"/>
          </w:tcPr>
          <w:p w:rsidR="003023BF" w:rsidRDefault="003023BF" w:rsidP="00520168">
            <w:pPr>
              <w:rPr>
                <w:sz w:val="16"/>
                <w:szCs w:val="16"/>
              </w:rPr>
            </w:pPr>
            <w:r>
              <w:rPr>
                <w:sz w:val="16"/>
                <w:szCs w:val="16"/>
              </w:rPr>
              <w:t>Term 3</w:t>
            </w:r>
          </w:p>
          <w:p w:rsidR="003023BF" w:rsidRPr="00A62DF0" w:rsidRDefault="003023BF" w:rsidP="00520168">
            <w:pPr>
              <w:rPr>
                <w:sz w:val="16"/>
                <w:szCs w:val="16"/>
              </w:rPr>
            </w:pPr>
            <w:r>
              <w:rPr>
                <w:sz w:val="16"/>
                <w:szCs w:val="16"/>
              </w:rPr>
              <w:t>Week 7</w:t>
            </w:r>
          </w:p>
        </w:tc>
        <w:tc>
          <w:tcPr>
            <w:tcW w:w="1063" w:type="dxa"/>
            <w:vAlign w:val="center"/>
          </w:tcPr>
          <w:p w:rsidR="003023BF" w:rsidRPr="00B46BD4" w:rsidRDefault="003023BF" w:rsidP="00520168">
            <w:pPr>
              <w:jc w:val="center"/>
              <w:rPr>
                <w:sz w:val="12"/>
                <w:szCs w:val="16"/>
              </w:rPr>
            </w:pPr>
            <w:r>
              <w:rPr>
                <w:sz w:val="12"/>
                <w:szCs w:val="16"/>
              </w:rPr>
              <w:t>10%</w:t>
            </w:r>
          </w:p>
        </w:tc>
        <w:tc>
          <w:tcPr>
            <w:tcW w:w="1063" w:type="dxa"/>
            <w:vAlign w:val="center"/>
          </w:tcPr>
          <w:p w:rsidR="003023BF" w:rsidRPr="00B46BD4" w:rsidRDefault="003023BF" w:rsidP="00520168">
            <w:pPr>
              <w:jc w:val="center"/>
              <w:rPr>
                <w:sz w:val="12"/>
                <w:szCs w:val="16"/>
              </w:rPr>
            </w:pPr>
          </w:p>
        </w:tc>
        <w:tc>
          <w:tcPr>
            <w:tcW w:w="567" w:type="dxa"/>
            <w:vAlign w:val="center"/>
          </w:tcPr>
          <w:p w:rsidR="003023BF" w:rsidRPr="00A62DF0" w:rsidRDefault="003023BF" w:rsidP="00520168">
            <w:pPr>
              <w:jc w:val="center"/>
              <w:rPr>
                <w:sz w:val="16"/>
                <w:szCs w:val="16"/>
              </w:rPr>
            </w:pPr>
            <w:r>
              <w:rPr>
                <w:sz w:val="16"/>
                <w:szCs w:val="16"/>
              </w:rPr>
              <w:t>10%</w:t>
            </w:r>
          </w:p>
        </w:tc>
      </w:tr>
      <w:tr w:rsidR="003023BF" w:rsidTr="00520168">
        <w:trPr>
          <w:trHeight w:val="552"/>
        </w:trPr>
        <w:tc>
          <w:tcPr>
            <w:tcW w:w="534" w:type="dxa"/>
            <w:vAlign w:val="center"/>
          </w:tcPr>
          <w:p w:rsidR="003023BF" w:rsidRPr="00A62DF0" w:rsidRDefault="003023BF" w:rsidP="00520168">
            <w:pPr>
              <w:jc w:val="center"/>
              <w:rPr>
                <w:sz w:val="16"/>
                <w:szCs w:val="16"/>
              </w:rPr>
            </w:pPr>
            <w:r>
              <w:rPr>
                <w:sz w:val="16"/>
                <w:szCs w:val="16"/>
              </w:rPr>
              <w:t>4</w:t>
            </w:r>
          </w:p>
        </w:tc>
        <w:tc>
          <w:tcPr>
            <w:tcW w:w="1275" w:type="dxa"/>
            <w:vAlign w:val="center"/>
          </w:tcPr>
          <w:p w:rsidR="003023BF" w:rsidRPr="00A62DF0" w:rsidRDefault="003023BF" w:rsidP="00520168">
            <w:pPr>
              <w:rPr>
                <w:sz w:val="16"/>
                <w:szCs w:val="16"/>
              </w:rPr>
            </w:pPr>
            <w:r>
              <w:rPr>
                <w:sz w:val="16"/>
                <w:szCs w:val="16"/>
              </w:rPr>
              <w:t xml:space="preserve">P – 1 </w:t>
            </w:r>
          </w:p>
        </w:tc>
        <w:tc>
          <w:tcPr>
            <w:tcW w:w="2127" w:type="dxa"/>
            <w:vAlign w:val="center"/>
          </w:tcPr>
          <w:p w:rsidR="003023BF" w:rsidRPr="00A62DF0" w:rsidRDefault="003023BF" w:rsidP="00520168">
            <w:pPr>
              <w:rPr>
                <w:sz w:val="16"/>
                <w:szCs w:val="16"/>
              </w:rPr>
            </w:pPr>
            <w:r>
              <w:rPr>
                <w:sz w:val="16"/>
                <w:szCs w:val="16"/>
              </w:rPr>
              <w:t>Texts and ways of thinking</w:t>
            </w:r>
          </w:p>
        </w:tc>
        <w:tc>
          <w:tcPr>
            <w:tcW w:w="2268" w:type="dxa"/>
            <w:vAlign w:val="center"/>
          </w:tcPr>
          <w:p w:rsidR="003023BF" w:rsidRPr="00A62DF0" w:rsidRDefault="003023BF" w:rsidP="00520168">
            <w:pPr>
              <w:rPr>
                <w:sz w:val="16"/>
                <w:szCs w:val="16"/>
              </w:rPr>
            </w:pPr>
            <w:r>
              <w:rPr>
                <w:sz w:val="16"/>
                <w:szCs w:val="16"/>
              </w:rPr>
              <w:t>End of Course Examination</w:t>
            </w:r>
          </w:p>
        </w:tc>
        <w:tc>
          <w:tcPr>
            <w:tcW w:w="992" w:type="dxa"/>
            <w:vAlign w:val="center"/>
          </w:tcPr>
          <w:p w:rsidR="003023BF" w:rsidRDefault="003023BF" w:rsidP="00520168">
            <w:pPr>
              <w:rPr>
                <w:sz w:val="16"/>
                <w:szCs w:val="16"/>
              </w:rPr>
            </w:pPr>
            <w:r>
              <w:rPr>
                <w:sz w:val="16"/>
                <w:szCs w:val="16"/>
              </w:rPr>
              <w:t>Term 3</w:t>
            </w:r>
          </w:p>
          <w:p w:rsidR="003023BF" w:rsidRPr="00A62DF0" w:rsidRDefault="003023BF" w:rsidP="00520168">
            <w:pPr>
              <w:rPr>
                <w:sz w:val="16"/>
                <w:szCs w:val="16"/>
              </w:rPr>
            </w:pPr>
            <w:proofErr w:type="spellStart"/>
            <w:r>
              <w:rPr>
                <w:sz w:val="16"/>
                <w:szCs w:val="16"/>
              </w:rPr>
              <w:t>Wks</w:t>
            </w:r>
            <w:proofErr w:type="spellEnd"/>
            <w:r>
              <w:rPr>
                <w:sz w:val="16"/>
                <w:szCs w:val="16"/>
              </w:rPr>
              <w:t xml:space="preserve"> 9-10</w:t>
            </w:r>
          </w:p>
        </w:tc>
        <w:tc>
          <w:tcPr>
            <w:tcW w:w="1063" w:type="dxa"/>
            <w:vAlign w:val="center"/>
          </w:tcPr>
          <w:p w:rsidR="003023BF" w:rsidRPr="00B46BD4" w:rsidRDefault="003023BF" w:rsidP="00520168">
            <w:pPr>
              <w:jc w:val="center"/>
              <w:rPr>
                <w:sz w:val="12"/>
                <w:szCs w:val="16"/>
              </w:rPr>
            </w:pPr>
            <w:r>
              <w:rPr>
                <w:sz w:val="12"/>
                <w:szCs w:val="16"/>
              </w:rPr>
              <w:t>10%</w:t>
            </w:r>
          </w:p>
        </w:tc>
        <w:tc>
          <w:tcPr>
            <w:tcW w:w="1063" w:type="dxa"/>
            <w:vAlign w:val="center"/>
          </w:tcPr>
          <w:p w:rsidR="003023BF" w:rsidRPr="00B46BD4" w:rsidRDefault="003023BF" w:rsidP="00520168">
            <w:pPr>
              <w:jc w:val="center"/>
              <w:rPr>
                <w:sz w:val="12"/>
                <w:szCs w:val="16"/>
              </w:rPr>
            </w:pPr>
          </w:p>
        </w:tc>
        <w:tc>
          <w:tcPr>
            <w:tcW w:w="567" w:type="dxa"/>
            <w:vAlign w:val="center"/>
          </w:tcPr>
          <w:p w:rsidR="003023BF" w:rsidRPr="00A62DF0" w:rsidRDefault="003023BF" w:rsidP="00520168">
            <w:pPr>
              <w:jc w:val="center"/>
              <w:rPr>
                <w:sz w:val="16"/>
                <w:szCs w:val="16"/>
              </w:rPr>
            </w:pPr>
            <w:r>
              <w:rPr>
                <w:sz w:val="16"/>
                <w:szCs w:val="16"/>
              </w:rPr>
              <w:t>10%</w:t>
            </w:r>
          </w:p>
        </w:tc>
      </w:tr>
      <w:tr w:rsidR="003023BF" w:rsidTr="00520168">
        <w:trPr>
          <w:trHeight w:val="368"/>
        </w:trPr>
        <w:tc>
          <w:tcPr>
            <w:tcW w:w="7196" w:type="dxa"/>
            <w:gridSpan w:val="5"/>
            <w:tcBorders>
              <w:bottom w:val="single" w:sz="4" w:space="0" w:color="auto"/>
            </w:tcBorders>
            <w:shd w:val="clear" w:color="auto" w:fill="E5B8B7" w:themeFill="accent2" w:themeFillTint="66"/>
            <w:vAlign w:val="center"/>
          </w:tcPr>
          <w:p w:rsidR="003023BF" w:rsidRPr="00B34F76" w:rsidRDefault="003023BF" w:rsidP="00520168">
            <w:pPr>
              <w:rPr>
                <w:b/>
                <w:sz w:val="16"/>
                <w:szCs w:val="16"/>
              </w:rPr>
            </w:pPr>
            <w:r w:rsidRPr="00B34F76">
              <w:rPr>
                <w:b/>
                <w:sz w:val="16"/>
                <w:szCs w:val="16"/>
              </w:rPr>
              <w:t>TOTAL</w:t>
            </w:r>
          </w:p>
        </w:tc>
        <w:tc>
          <w:tcPr>
            <w:tcW w:w="1063" w:type="dxa"/>
            <w:tcBorders>
              <w:bottom w:val="single" w:sz="4" w:space="0" w:color="auto"/>
            </w:tcBorders>
            <w:shd w:val="clear" w:color="auto" w:fill="E5B8B7" w:themeFill="accent2" w:themeFillTint="66"/>
            <w:vAlign w:val="center"/>
          </w:tcPr>
          <w:p w:rsidR="003023BF" w:rsidRPr="00790A7A" w:rsidRDefault="003023BF" w:rsidP="00520168">
            <w:pPr>
              <w:jc w:val="center"/>
              <w:rPr>
                <w:b/>
                <w:sz w:val="14"/>
                <w:szCs w:val="16"/>
              </w:rPr>
            </w:pPr>
            <w:r>
              <w:rPr>
                <w:b/>
                <w:sz w:val="14"/>
                <w:szCs w:val="16"/>
              </w:rPr>
              <w:t>25%</w:t>
            </w:r>
          </w:p>
        </w:tc>
        <w:tc>
          <w:tcPr>
            <w:tcW w:w="1063" w:type="dxa"/>
            <w:tcBorders>
              <w:bottom w:val="single" w:sz="4" w:space="0" w:color="auto"/>
            </w:tcBorders>
            <w:shd w:val="clear" w:color="auto" w:fill="E5B8B7" w:themeFill="accent2" w:themeFillTint="66"/>
            <w:vAlign w:val="center"/>
          </w:tcPr>
          <w:p w:rsidR="003023BF" w:rsidRPr="00790A7A" w:rsidRDefault="003023BF" w:rsidP="00520168">
            <w:pPr>
              <w:jc w:val="center"/>
              <w:rPr>
                <w:b/>
                <w:sz w:val="14"/>
                <w:szCs w:val="16"/>
              </w:rPr>
            </w:pPr>
            <w:r>
              <w:rPr>
                <w:b/>
                <w:sz w:val="14"/>
                <w:szCs w:val="16"/>
              </w:rPr>
              <w:t>25%</w:t>
            </w:r>
          </w:p>
        </w:tc>
        <w:tc>
          <w:tcPr>
            <w:tcW w:w="567" w:type="dxa"/>
            <w:shd w:val="clear" w:color="auto" w:fill="E5B8B7" w:themeFill="accent2" w:themeFillTint="66"/>
            <w:vAlign w:val="center"/>
          </w:tcPr>
          <w:p w:rsidR="003023BF" w:rsidRPr="00B34F76" w:rsidRDefault="003023BF" w:rsidP="00520168">
            <w:pPr>
              <w:jc w:val="center"/>
              <w:rPr>
                <w:b/>
                <w:sz w:val="16"/>
                <w:szCs w:val="16"/>
              </w:rPr>
            </w:pPr>
            <w:r>
              <w:rPr>
                <w:b/>
                <w:sz w:val="16"/>
                <w:szCs w:val="16"/>
              </w:rPr>
              <w:t>/50</w:t>
            </w:r>
          </w:p>
        </w:tc>
      </w:tr>
    </w:tbl>
    <w:p w:rsidR="003023BF" w:rsidRDefault="003023BF" w:rsidP="003023BF"/>
    <w:p w:rsidR="001D726E" w:rsidRDefault="001D726E" w:rsidP="003023BF"/>
    <w:p w:rsidR="001D726E" w:rsidRDefault="001D726E" w:rsidP="003023BF">
      <w:bookmarkStart w:id="0" w:name="_GoBack"/>
      <w:bookmarkEnd w:id="0"/>
    </w:p>
    <w:p w:rsidR="001D726E" w:rsidRDefault="001D726E" w:rsidP="001D726E">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t xml:space="preserve">REPORTING PERFORMANCE AND ACHIEVEMENT IN </w:t>
      </w:r>
      <w:r>
        <w:rPr>
          <w:rFonts w:ascii="Arial" w:hAnsi="Arial" w:cs="Arial"/>
          <w:b/>
          <w:color w:val="000000" w:themeColor="text1"/>
          <w:sz w:val="20"/>
        </w:rPr>
        <w:t>PRELIMINARY COURSES</w:t>
      </w:r>
    </w:p>
    <w:p w:rsidR="001D726E" w:rsidRDefault="001D726E" w:rsidP="001D726E">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1D726E" w:rsidRDefault="001D726E" w:rsidP="001D726E">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1D726E" w:rsidTr="001D72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D726E" w:rsidRDefault="001D726E">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1D726E" w:rsidRDefault="001D72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1D726E" w:rsidTr="001D72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D726E" w:rsidRDefault="001D726E">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1D726E" w:rsidRDefault="001D72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1D726E" w:rsidTr="001D72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D726E" w:rsidRDefault="001D726E">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1D726E" w:rsidRDefault="001D72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1D726E" w:rsidTr="001D72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D726E" w:rsidRDefault="001D726E">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1D726E" w:rsidRDefault="001D72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1D726E" w:rsidTr="001D726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D726E" w:rsidRDefault="001D726E">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1D726E" w:rsidRDefault="001D726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1D726E" w:rsidRDefault="001D726E" w:rsidP="001D726E">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3023BF" w:rsidRPr="003023BF" w:rsidRDefault="003023BF" w:rsidP="003023BF">
      <w:pPr>
        <w:pStyle w:val="BodyText"/>
        <w:spacing w:line="276" w:lineRule="auto"/>
        <w:jc w:val="both"/>
        <w:rPr>
          <w:rFonts w:ascii="Arial" w:hAnsi="Arial" w:cs="Arial"/>
          <w:b w:val="0"/>
          <w:sz w:val="20"/>
          <w:szCs w:val="20"/>
        </w:rPr>
      </w:pPr>
    </w:p>
    <w:sectPr w:rsidR="003023BF" w:rsidRPr="003023BF"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9C" w:rsidRDefault="0035219C" w:rsidP="00210508">
      <w:r>
        <w:separator/>
      </w:r>
    </w:p>
  </w:endnote>
  <w:endnote w:type="continuationSeparator" w:id="0">
    <w:p w:rsidR="0035219C" w:rsidRDefault="0035219C"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0F7F6356" wp14:editId="2512A09A">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9C" w:rsidRDefault="0035219C" w:rsidP="00210508">
      <w:r>
        <w:separator/>
      </w:r>
    </w:p>
  </w:footnote>
  <w:footnote w:type="continuationSeparator" w:id="0">
    <w:p w:rsidR="0035219C" w:rsidRDefault="0035219C"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6">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7"/>
  </w:num>
  <w:num w:numId="8">
    <w:abstractNumId w:val="15"/>
  </w:num>
  <w:num w:numId="9">
    <w:abstractNumId w:val="18"/>
  </w:num>
  <w:num w:numId="10">
    <w:abstractNumId w:val="3"/>
  </w:num>
  <w:num w:numId="11">
    <w:abstractNumId w:val="12"/>
  </w:num>
  <w:num w:numId="12">
    <w:abstractNumId w:val="16"/>
  </w:num>
  <w:num w:numId="13">
    <w:abstractNumId w:val="13"/>
  </w:num>
  <w:num w:numId="14">
    <w:abstractNumId w:val="8"/>
  </w:num>
  <w:num w:numId="15">
    <w:abstractNumId w:val="14"/>
  </w:num>
  <w:num w:numId="16">
    <w:abstractNumId w:val="5"/>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1D726E"/>
    <w:rsid w:val="00210508"/>
    <w:rsid w:val="00287CED"/>
    <w:rsid w:val="002F4C23"/>
    <w:rsid w:val="003023BF"/>
    <w:rsid w:val="0035219C"/>
    <w:rsid w:val="00431BF5"/>
    <w:rsid w:val="0048746E"/>
    <w:rsid w:val="004F3A05"/>
    <w:rsid w:val="005010E8"/>
    <w:rsid w:val="00542E44"/>
    <w:rsid w:val="00573DF3"/>
    <w:rsid w:val="00605DCF"/>
    <w:rsid w:val="00625DA0"/>
    <w:rsid w:val="006674C3"/>
    <w:rsid w:val="00697C66"/>
    <w:rsid w:val="00703ECA"/>
    <w:rsid w:val="00706C03"/>
    <w:rsid w:val="00711FB2"/>
    <w:rsid w:val="0074146A"/>
    <w:rsid w:val="00762891"/>
    <w:rsid w:val="007910F1"/>
    <w:rsid w:val="007C1B4F"/>
    <w:rsid w:val="00834987"/>
    <w:rsid w:val="00846B01"/>
    <w:rsid w:val="0097469D"/>
    <w:rsid w:val="009E527C"/>
    <w:rsid w:val="00A012A0"/>
    <w:rsid w:val="00A01ABB"/>
    <w:rsid w:val="00A046B5"/>
    <w:rsid w:val="00A277D6"/>
    <w:rsid w:val="00B61893"/>
    <w:rsid w:val="00BA63A8"/>
    <w:rsid w:val="00C35925"/>
    <w:rsid w:val="00C778AC"/>
    <w:rsid w:val="00CC0F8A"/>
    <w:rsid w:val="00D03608"/>
    <w:rsid w:val="00D1741A"/>
    <w:rsid w:val="00DB184C"/>
    <w:rsid w:val="00DF6287"/>
    <w:rsid w:val="00DF675E"/>
    <w:rsid w:val="00E82F92"/>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1D726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3023B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023BF"/>
    <w:rPr>
      <w:rFonts w:ascii="Times New Roman" w:eastAsia="Times New Roman" w:hAnsi="Times New Roman" w:cs="Times New Roman"/>
      <w:b/>
      <w:bCs/>
      <w:sz w:val="24"/>
      <w:szCs w:val="24"/>
    </w:rPr>
  </w:style>
  <w:style w:type="paragraph" w:customStyle="1" w:styleId="BulletText1">
    <w:name w:val="Bullet Text 1"/>
    <w:basedOn w:val="BodyText"/>
    <w:rsid w:val="003023BF"/>
    <w:pPr>
      <w:numPr>
        <w:numId w:val="19"/>
      </w:numPr>
    </w:pPr>
    <w:rPr>
      <w:rFonts w:ascii="Arial" w:hAnsi="Arial"/>
      <w:b w:val="0"/>
      <w:bCs w:val="0"/>
      <w:sz w:val="22"/>
      <w:szCs w:val="20"/>
    </w:rPr>
  </w:style>
  <w:style w:type="character" w:customStyle="1" w:styleId="NoSpacingChar">
    <w:name w:val="No Spacing Char"/>
    <w:link w:val="NoSpacing"/>
    <w:uiPriority w:val="1"/>
    <w:locked/>
    <w:rsid w:val="003023BF"/>
    <w:rPr>
      <w:rFonts w:eastAsia="Calibri"/>
      <w:szCs w:val="22"/>
      <w:lang w:val="en-US" w:bidi="en-US"/>
    </w:rPr>
  </w:style>
  <w:style w:type="paragraph" w:styleId="NoSpacing">
    <w:name w:val="No Spacing"/>
    <w:basedOn w:val="Normal"/>
    <w:link w:val="NoSpacingChar"/>
    <w:uiPriority w:val="1"/>
    <w:qFormat/>
    <w:rsid w:val="003023BF"/>
    <w:rPr>
      <w:rFonts w:eastAsia="Calibri"/>
      <w:szCs w:val="22"/>
      <w:lang w:val="en-US" w:bidi="en-US"/>
    </w:rPr>
  </w:style>
  <w:style w:type="character" w:customStyle="1" w:styleId="Heading2Char">
    <w:name w:val="Heading 2 Char"/>
    <w:basedOn w:val="DefaultParagraphFont"/>
    <w:link w:val="Heading2"/>
    <w:uiPriority w:val="9"/>
    <w:rsid w:val="001D72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1D726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3023B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023BF"/>
    <w:rPr>
      <w:rFonts w:ascii="Times New Roman" w:eastAsia="Times New Roman" w:hAnsi="Times New Roman" w:cs="Times New Roman"/>
      <w:b/>
      <w:bCs/>
      <w:sz w:val="24"/>
      <w:szCs w:val="24"/>
    </w:rPr>
  </w:style>
  <w:style w:type="paragraph" w:customStyle="1" w:styleId="BulletText1">
    <w:name w:val="Bullet Text 1"/>
    <w:basedOn w:val="BodyText"/>
    <w:rsid w:val="003023BF"/>
    <w:pPr>
      <w:numPr>
        <w:numId w:val="19"/>
      </w:numPr>
    </w:pPr>
    <w:rPr>
      <w:rFonts w:ascii="Arial" w:hAnsi="Arial"/>
      <w:b w:val="0"/>
      <w:bCs w:val="0"/>
      <w:sz w:val="22"/>
      <w:szCs w:val="20"/>
    </w:rPr>
  </w:style>
  <w:style w:type="character" w:customStyle="1" w:styleId="NoSpacingChar">
    <w:name w:val="No Spacing Char"/>
    <w:link w:val="NoSpacing"/>
    <w:uiPriority w:val="1"/>
    <w:locked/>
    <w:rsid w:val="003023BF"/>
    <w:rPr>
      <w:rFonts w:eastAsia="Calibri"/>
      <w:szCs w:val="22"/>
      <w:lang w:val="en-US" w:bidi="en-US"/>
    </w:rPr>
  </w:style>
  <w:style w:type="paragraph" w:styleId="NoSpacing">
    <w:name w:val="No Spacing"/>
    <w:basedOn w:val="Normal"/>
    <w:link w:val="NoSpacingChar"/>
    <w:uiPriority w:val="1"/>
    <w:qFormat/>
    <w:rsid w:val="003023BF"/>
    <w:rPr>
      <w:rFonts w:eastAsia="Calibri"/>
      <w:szCs w:val="22"/>
      <w:lang w:val="en-US" w:bidi="en-US"/>
    </w:rPr>
  </w:style>
  <w:style w:type="character" w:customStyle="1" w:styleId="Heading2Char">
    <w:name w:val="Heading 2 Char"/>
    <w:basedOn w:val="DefaultParagraphFont"/>
    <w:link w:val="Heading2"/>
    <w:uiPriority w:val="9"/>
    <w:rsid w:val="001D72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1524">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385513">
      <w:bodyDiv w:val="1"/>
      <w:marLeft w:val="0"/>
      <w:marRight w:val="0"/>
      <w:marTop w:val="0"/>
      <w:marBottom w:val="0"/>
      <w:divBdr>
        <w:top w:val="none" w:sz="0" w:space="0" w:color="auto"/>
        <w:left w:val="none" w:sz="0" w:space="0" w:color="auto"/>
        <w:bottom w:val="none" w:sz="0" w:space="0" w:color="auto"/>
        <w:right w:val="none" w:sz="0" w:space="0" w:color="auto"/>
      </w:divBdr>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7</cp:revision>
  <cp:lastPrinted>2014-08-08T08:34:00Z</cp:lastPrinted>
  <dcterms:created xsi:type="dcterms:W3CDTF">2015-03-28T05:32:00Z</dcterms:created>
  <dcterms:modified xsi:type="dcterms:W3CDTF">2015-04-04T00:24:00Z</dcterms:modified>
</cp:coreProperties>
</file>