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923226">
        <w:rPr>
          <w:b/>
          <w:sz w:val="36"/>
          <w:szCs w:val="36"/>
        </w:rPr>
        <w:t>Legal Studies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37CD0" w:rsidRDefault="00A37CD0"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37CD0" w:rsidRPr="00A37CD0" w:rsidRDefault="00A37CD0" w:rsidP="00A37CD0">
      <w:pPr>
        <w:pStyle w:val="BodyText"/>
        <w:spacing w:line="276" w:lineRule="auto"/>
        <w:jc w:val="both"/>
        <w:rPr>
          <w:rFonts w:ascii="Arial" w:hAnsi="Arial" w:cs="Arial"/>
          <w:b w:val="0"/>
          <w:sz w:val="20"/>
          <w:szCs w:val="20"/>
        </w:rPr>
      </w:pPr>
      <w:r w:rsidRPr="00A37CD0">
        <w:rPr>
          <w:rFonts w:ascii="Arial" w:hAnsi="Arial" w:cs="Arial"/>
          <w:b w:val="0"/>
          <w:sz w:val="20"/>
          <w:szCs w:val="20"/>
        </w:rPr>
        <w:t>The Preliminary course develops students’ knowledge and understanding of the nature and functions of law and law-making, the development of Australian and international legal systems, the Australian constitution and law reform. It examines an individual’s rights and responsibilities, how disputes are resolved and examines a contemporary issue concerning the individual and technology. Students have the opportunity to investigate issues that illustrate how the law operates in practice. This is achieved by investigating, analysing and synthesising legal information and investigating legal issues from a variety of perspectives. The HSC course investigates the key areas of law, justice and human rights through a variety of focus studies which consider how changes in societies influence law reform.</w:t>
      </w:r>
    </w:p>
    <w:p w:rsidR="00A37CD0" w:rsidRPr="00A37CD0" w:rsidRDefault="00A37CD0" w:rsidP="00A37CD0">
      <w:pPr>
        <w:pStyle w:val="BodyText"/>
        <w:spacing w:line="276" w:lineRule="auto"/>
        <w:rPr>
          <w:rFonts w:ascii="Arial" w:hAnsi="Arial" w:cs="Arial"/>
          <w:sz w:val="20"/>
          <w:szCs w:val="20"/>
        </w:rPr>
      </w:pPr>
    </w:p>
    <w:p w:rsidR="00A37CD0" w:rsidRPr="00A37CD0" w:rsidRDefault="00A37CD0" w:rsidP="00A37CD0">
      <w:pPr>
        <w:pStyle w:val="BodyText"/>
        <w:spacing w:line="276" w:lineRule="auto"/>
        <w:rPr>
          <w:rFonts w:ascii="Arial" w:hAnsi="Arial" w:cs="Arial"/>
          <w:sz w:val="20"/>
          <w:szCs w:val="20"/>
        </w:rPr>
      </w:pPr>
    </w:p>
    <w:p w:rsidR="00A37CD0" w:rsidRPr="00A37CD0" w:rsidRDefault="00CD5957" w:rsidP="00A37CD0">
      <w:pPr>
        <w:pStyle w:val="Default"/>
        <w:spacing w:line="276" w:lineRule="auto"/>
        <w:rPr>
          <w:b/>
          <w:bCs/>
          <w:sz w:val="20"/>
          <w:szCs w:val="20"/>
        </w:rPr>
      </w:pPr>
      <w:r w:rsidRPr="00A37CD0">
        <w:rPr>
          <w:b/>
          <w:bCs/>
          <w:sz w:val="20"/>
          <w:szCs w:val="20"/>
        </w:rPr>
        <w:t>PRELIMINARY COURSE</w:t>
      </w:r>
      <w:r>
        <w:rPr>
          <w:b/>
          <w:bCs/>
          <w:sz w:val="20"/>
          <w:szCs w:val="20"/>
        </w:rPr>
        <w:t xml:space="preserve"> CONTENT</w:t>
      </w:r>
    </w:p>
    <w:p w:rsidR="00A37CD0" w:rsidRPr="00A37CD0" w:rsidRDefault="00A37CD0" w:rsidP="00A37CD0">
      <w:pPr>
        <w:pStyle w:val="Default"/>
        <w:spacing w:line="276" w:lineRule="auto"/>
        <w:rPr>
          <w:sz w:val="20"/>
          <w:szCs w:val="20"/>
        </w:rPr>
      </w:pPr>
      <w:r w:rsidRPr="00A37CD0">
        <w:rPr>
          <w:noProof/>
          <w:color w:val="57585A"/>
          <w:sz w:val="20"/>
          <w:szCs w:val="20"/>
        </w:rPr>
        <w:drawing>
          <wp:anchor distT="0" distB="0" distL="114300" distR="114300" simplePos="0" relativeHeight="251662336" behindDoc="0" locked="0" layoutInCell="1" allowOverlap="1" wp14:anchorId="77940DAA" wp14:editId="05DD22B4">
            <wp:simplePos x="0" y="0"/>
            <wp:positionH relativeFrom="column">
              <wp:posOffset>4080510</wp:posOffset>
            </wp:positionH>
            <wp:positionV relativeFrom="paragraph">
              <wp:posOffset>5080</wp:posOffset>
            </wp:positionV>
            <wp:extent cx="1939925" cy="1271905"/>
            <wp:effectExtent l="171450" t="171450" r="193675" b="194945"/>
            <wp:wrapSquare wrapText="bothSides"/>
            <wp:docPr id="224" name="Picture 224" descr="Relationship between two separate injuries - WorkCover Queensland 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ionship between two separate injuries - WorkCover Queensland Case Stud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12719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37CD0" w:rsidRPr="00A37CD0" w:rsidRDefault="00A37CD0" w:rsidP="00A37CD0">
      <w:pPr>
        <w:pStyle w:val="Default"/>
        <w:numPr>
          <w:ilvl w:val="0"/>
          <w:numId w:val="20"/>
        </w:numPr>
        <w:spacing w:before="60" w:line="276" w:lineRule="auto"/>
        <w:ind w:left="714" w:hanging="357"/>
        <w:rPr>
          <w:sz w:val="20"/>
          <w:szCs w:val="20"/>
        </w:rPr>
      </w:pPr>
      <w:r w:rsidRPr="00A37CD0">
        <w:rPr>
          <w:sz w:val="20"/>
          <w:szCs w:val="20"/>
        </w:rPr>
        <w:t xml:space="preserve">Part I – The Legal System (40% of course time) – </w:t>
      </w:r>
      <w:r w:rsidRPr="00A37CD0">
        <w:rPr>
          <w:i/>
          <w:sz w:val="20"/>
          <w:szCs w:val="20"/>
        </w:rPr>
        <w:t>the nature and functions of law</w:t>
      </w:r>
    </w:p>
    <w:p w:rsidR="00A37CD0" w:rsidRPr="00A37CD0" w:rsidRDefault="00A37CD0" w:rsidP="00A37CD0">
      <w:pPr>
        <w:pStyle w:val="Default"/>
        <w:numPr>
          <w:ilvl w:val="0"/>
          <w:numId w:val="20"/>
        </w:numPr>
        <w:spacing w:before="60" w:line="276" w:lineRule="auto"/>
        <w:ind w:left="714" w:hanging="357"/>
        <w:rPr>
          <w:sz w:val="20"/>
          <w:szCs w:val="20"/>
        </w:rPr>
      </w:pPr>
      <w:r w:rsidRPr="00A37CD0">
        <w:rPr>
          <w:sz w:val="20"/>
          <w:szCs w:val="20"/>
        </w:rPr>
        <w:t xml:space="preserve">Part II – The Individual and the Law (30% of course time) – </w:t>
      </w:r>
      <w:r w:rsidRPr="00A37CD0">
        <w:rPr>
          <w:i/>
          <w:sz w:val="20"/>
          <w:szCs w:val="20"/>
        </w:rPr>
        <w:t>how the law impacts on individuals</w:t>
      </w:r>
    </w:p>
    <w:p w:rsidR="00A37CD0" w:rsidRPr="00A37CD0" w:rsidRDefault="00A37CD0" w:rsidP="00A37CD0">
      <w:pPr>
        <w:pStyle w:val="Default"/>
        <w:numPr>
          <w:ilvl w:val="0"/>
          <w:numId w:val="20"/>
        </w:numPr>
        <w:spacing w:before="60" w:line="276" w:lineRule="auto"/>
        <w:ind w:left="714" w:hanging="357"/>
        <w:rPr>
          <w:sz w:val="20"/>
          <w:szCs w:val="20"/>
        </w:rPr>
      </w:pPr>
      <w:r w:rsidRPr="00A37CD0">
        <w:rPr>
          <w:sz w:val="20"/>
          <w:szCs w:val="20"/>
        </w:rPr>
        <w:t xml:space="preserve">Part III – The Law in Practice (30% of course time) </w:t>
      </w:r>
      <w:r w:rsidRPr="00A37CD0">
        <w:rPr>
          <w:sz w:val="20"/>
          <w:szCs w:val="20"/>
          <w:lang w:val="en-US"/>
        </w:rPr>
        <w:t xml:space="preserve">– </w:t>
      </w:r>
      <w:r w:rsidRPr="00A37CD0">
        <w:rPr>
          <w:i/>
          <w:sz w:val="20"/>
          <w:szCs w:val="20"/>
        </w:rPr>
        <w:t>investigation of contemporary issues that illustrates how the law operates</w:t>
      </w:r>
    </w:p>
    <w:p w:rsidR="00A37CD0" w:rsidRPr="00A37CD0" w:rsidRDefault="00A37CD0" w:rsidP="00A37CD0">
      <w:pPr>
        <w:pStyle w:val="Default"/>
        <w:spacing w:before="60" w:line="276" w:lineRule="auto"/>
        <w:rPr>
          <w:sz w:val="20"/>
          <w:szCs w:val="20"/>
        </w:rPr>
      </w:pPr>
    </w:p>
    <w:p w:rsidR="00CD5957" w:rsidRPr="00CD5957" w:rsidRDefault="00CD5957" w:rsidP="00CD5957">
      <w:pPr>
        <w:rPr>
          <w:b/>
        </w:rPr>
      </w:pPr>
      <w:r w:rsidRPr="00CD5957">
        <w:rPr>
          <w:b/>
        </w:rPr>
        <w:t>SYLLABUS OUTCOMES</w:t>
      </w:r>
    </w:p>
    <w:p w:rsidR="00CD5957" w:rsidRPr="00CD5957" w:rsidRDefault="00CD5957" w:rsidP="00CD5957"/>
    <w:p w:rsidR="00CD5957" w:rsidRPr="00CD5957" w:rsidRDefault="00CD5957" w:rsidP="00CD5957">
      <w:pPr>
        <w:pStyle w:val="NoSpacing"/>
        <w:spacing w:after="60"/>
        <w:rPr>
          <w:i/>
          <w:szCs w:val="20"/>
        </w:rPr>
      </w:pPr>
      <w:r w:rsidRPr="00CD5957">
        <w:rPr>
          <w:i/>
          <w:szCs w:val="20"/>
        </w:rPr>
        <w:t>A student:</w:t>
      </w:r>
    </w:p>
    <w:p w:rsidR="00CD5957" w:rsidRPr="00CD5957" w:rsidRDefault="00CD5957" w:rsidP="00CD5957">
      <w:pPr>
        <w:pStyle w:val="NoSpacing"/>
        <w:spacing w:before="80" w:line="276" w:lineRule="auto"/>
        <w:rPr>
          <w:szCs w:val="20"/>
        </w:rPr>
      </w:pPr>
      <w:r w:rsidRPr="00CD5957">
        <w:rPr>
          <w:b/>
          <w:szCs w:val="20"/>
        </w:rPr>
        <w:t>P1.</w:t>
      </w:r>
      <w:r w:rsidRPr="00CD5957">
        <w:rPr>
          <w:szCs w:val="20"/>
        </w:rPr>
        <w:t xml:space="preserve"> </w:t>
      </w:r>
      <w:r w:rsidRPr="00CD5957">
        <w:rPr>
          <w:szCs w:val="20"/>
        </w:rPr>
        <w:tab/>
        <w:t xml:space="preserve">identifies and applies legal concepts and terminology </w:t>
      </w:r>
    </w:p>
    <w:p w:rsidR="00CD5957" w:rsidRPr="00CD5957" w:rsidRDefault="00CD5957" w:rsidP="00CD5957">
      <w:pPr>
        <w:pStyle w:val="NoSpacing"/>
        <w:spacing w:before="80" w:line="276" w:lineRule="auto"/>
        <w:rPr>
          <w:szCs w:val="20"/>
        </w:rPr>
      </w:pPr>
      <w:r w:rsidRPr="00CD5957">
        <w:rPr>
          <w:b/>
          <w:szCs w:val="20"/>
        </w:rPr>
        <w:t>P2</w:t>
      </w:r>
      <w:r w:rsidRPr="00CD5957">
        <w:rPr>
          <w:szCs w:val="20"/>
        </w:rPr>
        <w:t xml:space="preserve">. </w:t>
      </w:r>
      <w:r w:rsidRPr="00CD5957">
        <w:rPr>
          <w:szCs w:val="20"/>
        </w:rPr>
        <w:tab/>
        <w:t xml:space="preserve">describes the key features of Australian and international law </w:t>
      </w:r>
    </w:p>
    <w:p w:rsidR="00CD5957" w:rsidRPr="00CD5957" w:rsidRDefault="00CD5957" w:rsidP="00CD5957">
      <w:pPr>
        <w:pStyle w:val="NoSpacing"/>
        <w:spacing w:before="80" w:line="276" w:lineRule="auto"/>
        <w:rPr>
          <w:szCs w:val="20"/>
        </w:rPr>
      </w:pPr>
      <w:r w:rsidRPr="00CD5957">
        <w:rPr>
          <w:b/>
          <w:szCs w:val="20"/>
        </w:rPr>
        <w:t>P3</w:t>
      </w:r>
      <w:r w:rsidRPr="00CD5957">
        <w:rPr>
          <w:szCs w:val="20"/>
        </w:rPr>
        <w:t xml:space="preserve">. </w:t>
      </w:r>
      <w:r w:rsidRPr="00CD5957">
        <w:rPr>
          <w:szCs w:val="20"/>
        </w:rPr>
        <w:tab/>
        <w:t xml:space="preserve">describes the operation of domestic and international legal systems </w:t>
      </w:r>
    </w:p>
    <w:p w:rsidR="00CD5957" w:rsidRPr="00CD5957" w:rsidRDefault="00CD5957" w:rsidP="00CD5957">
      <w:pPr>
        <w:pStyle w:val="NoSpacing"/>
        <w:spacing w:before="80" w:line="276" w:lineRule="auto"/>
        <w:rPr>
          <w:szCs w:val="20"/>
        </w:rPr>
      </w:pPr>
      <w:r w:rsidRPr="00CD5957">
        <w:rPr>
          <w:b/>
          <w:szCs w:val="20"/>
        </w:rPr>
        <w:t>P4</w:t>
      </w:r>
      <w:r w:rsidRPr="00CD5957">
        <w:rPr>
          <w:szCs w:val="20"/>
        </w:rPr>
        <w:t xml:space="preserve">. </w:t>
      </w:r>
      <w:r w:rsidRPr="00CD5957">
        <w:rPr>
          <w:szCs w:val="20"/>
        </w:rPr>
        <w:tab/>
        <w:t xml:space="preserve">discusses the effectiveness of the legal system in addressing issues </w:t>
      </w:r>
    </w:p>
    <w:p w:rsidR="00CD5957" w:rsidRPr="00CD5957" w:rsidRDefault="00CD5957" w:rsidP="00CD5957">
      <w:pPr>
        <w:pStyle w:val="NoSpacing"/>
        <w:spacing w:before="80" w:line="276" w:lineRule="auto"/>
        <w:ind w:left="720" w:hanging="720"/>
        <w:rPr>
          <w:szCs w:val="20"/>
        </w:rPr>
      </w:pPr>
      <w:r w:rsidRPr="00CD5957">
        <w:rPr>
          <w:b/>
          <w:szCs w:val="20"/>
        </w:rPr>
        <w:t>P5</w:t>
      </w:r>
      <w:r w:rsidRPr="00CD5957">
        <w:rPr>
          <w:szCs w:val="20"/>
        </w:rPr>
        <w:t xml:space="preserve">. </w:t>
      </w:r>
      <w:r w:rsidRPr="00CD5957">
        <w:rPr>
          <w:szCs w:val="20"/>
        </w:rPr>
        <w:tab/>
        <w:t>describes the role of law in encouraging cooperation and resolving conflict, as well as initiating and responding to change</w:t>
      </w:r>
    </w:p>
    <w:p w:rsidR="00CD5957" w:rsidRPr="00CD5957" w:rsidRDefault="00CD5957" w:rsidP="00CD5957">
      <w:pPr>
        <w:pStyle w:val="NoSpacing"/>
        <w:spacing w:before="80" w:line="276" w:lineRule="auto"/>
        <w:rPr>
          <w:szCs w:val="20"/>
        </w:rPr>
      </w:pPr>
      <w:r w:rsidRPr="00CD5957">
        <w:rPr>
          <w:b/>
          <w:szCs w:val="20"/>
        </w:rPr>
        <w:t>P6</w:t>
      </w:r>
      <w:r w:rsidRPr="00CD5957">
        <w:rPr>
          <w:szCs w:val="20"/>
        </w:rPr>
        <w:t xml:space="preserve">. </w:t>
      </w:r>
      <w:r w:rsidRPr="00CD5957">
        <w:rPr>
          <w:szCs w:val="20"/>
        </w:rPr>
        <w:tab/>
        <w:t>explains the nature of the interrelationship between the legal system and society</w:t>
      </w:r>
    </w:p>
    <w:p w:rsidR="00CD5957" w:rsidRPr="00CD5957" w:rsidRDefault="00CD5957" w:rsidP="00CD5957">
      <w:pPr>
        <w:pStyle w:val="NoSpacing"/>
        <w:spacing w:before="80" w:line="276" w:lineRule="auto"/>
        <w:rPr>
          <w:szCs w:val="20"/>
        </w:rPr>
      </w:pPr>
      <w:r w:rsidRPr="00CD5957">
        <w:rPr>
          <w:b/>
          <w:szCs w:val="20"/>
        </w:rPr>
        <w:t>P7</w:t>
      </w:r>
      <w:r w:rsidRPr="00CD5957">
        <w:rPr>
          <w:szCs w:val="20"/>
        </w:rPr>
        <w:t xml:space="preserve">. </w:t>
      </w:r>
      <w:r w:rsidRPr="00CD5957">
        <w:rPr>
          <w:szCs w:val="20"/>
        </w:rPr>
        <w:tab/>
        <w:t xml:space="preserve">evaluates the effectiveness of the law in achieving justice </w:t>
      </w:r>
    </w:p>
    <w:p w:rsidR="00CD5957" w:rsidRPr="00CD5957" w:rsidRDefault="00CD5957" w:rsidP="00CD5957">
      <w:pPr>
        <w:pStyle w:val="NoSpacing"/>
        <w:spacing w:before="80" w:line="276" w:lineRule="auto"/>
        <w:ind w:left="720" w:hanging="720"/>
        <w:rPr>
          <w:szCs w:val="20"/>
        </w:rPr>
      </w:pPr>
      <w:r w:rsidRPr="00CD5957">
        <w:rPr>
          <w:b/>
          <w:szCs w:val="20"/>
        </w:rPr>
        <w:t>P8</w:t>
      </w:r>
      <w:r w:rsidRPr="00CD5957">
        <w:rPr>
          <w:szCs w:val="20"/>
        </w:rPr>
        <w:t xml:space="preserve">. </w:t>
      </w:r>
      <w:r w:rsidRPr="00CD5957">
        <w:rPr>
          <w:szCs w:val="20"/>
        </w:rPr>
        <w:tab/>
        <w:t xml:space="preserve">locates, selects and </w:t>
      </w:r>
      <w:proofErr w:type="spellStart"/>
      <w:r w:rsidRPr="00CD5957">
        <w:rPr>
          <w:szCs w:val="20"/>
        </w:rPr>
        <w:t>organises</w:t>
      </w:r>
      <w:proofErr w:type="spellEnd"/>
      <w:r w:rsidRPr="00CD5957">
        <w:rPr>
          <w:szCs w:val="20"/>
        </w:rPr>
        <w:t xml:space="preserve"> legal information from a variety of sources including legislation, cases, media, international instruments and documents </w:t>
      </w:r>
    </w:p>
    <w:p w:rsidR="00CD5957" w:rsidRPr="00CD5957" w:rsidRDefault="00CD5957" w:rsidP="00CD5957">
      <w:pPr>
        <w:pStyle w:val="NoSpacing"/>
        <w:spacing w:before="80" w:line="276" w:lineRule="auto"/>
        <w:rPr>
          <w:szCs w:val="20"/>
        </w:rPr>
      </w:pPr>
      <w:r w:rsidRPr="00CD5957">
        <w:rPr>
          <w:b/>
          <w:szCs w:val="20"/>
        </w:rPr>
        <w:t>P9</w:t>
      </w:r>
      <w:r w:rsidRPr="00CD5957">
        <w:rPr>
          <w:szCs w:val="20"/>
        </w:rPr>
        <w:t xml:space="preserve">. </w:t>
      </w:r>
      <w:r w:rsidRPr="00CD5957">
        <w:rPr>
          <w:szCs w:val="20"/>
        </w:rPr>
        <w:tab/>
        <w:t xml:space="preserve">communicates legal information using  well-structured  responses  </w:t>
      </w:r>
    </w:p>
    <w:p w:rsidR="00CD5957" w:rsidRPr="00CD5957" w:rsidRDefault="00CD5957" w:rsidP="00CD5957">
      <w:pPr>
        <w:pStyle w:val="NoSpacing"/>
        <w:spacing w:before="80" w:line="276" w:lineRule="auto"/>
        <w:rPr>
          <w:szCs w:val="20"/>
        </w:rPr>
      </w:pPr>
      <w:r w:rsidRPr="00CD5957">
        <w:rPr>
          <w:b/>
          <w:szCs w:val="20"/>
        </w:rPr>
        <w:t>P10</w:t>
      </w:r>
      <w:r w:rsidRPr="00CD5957">
        <w:rPr>
          <w:szCs w:val="20"/>
        </w:rPr>
        <w:t xml:space="preserve">. </w:t>
      </w:r>
      <w:r w:rsidRPr="00CD5957">
        <w:rPr>
          <w:szCs w:val="20"/>
        </w:rPr>
        <w:tab/>
        <w:t>accounts for differing perspectives and interpretations of legal information and issues</w:t>
      </w:r>
    </w:p>
    <w:p w:rsidR="00CD5957" w:rsidRPr="00CD5957" w:rsidRDefault="00CD5957" w:rsidP="00CD5957">
      <w:pPr>
        <w:pStyle w:val="NoSpacing"/>
        <w:rPr>
          <w:szCs w:val="20"/>
        </w:rPr>
      </w:pPr>
    </w:p>
    <w:p w:rsidR="00CD5957" w:rsidRPr="00CD5957" w:rsidRDefault="00CD5957" w:rsidP="00CD5957">
      <w:pPr>
        <w:pStyle w:val="NoSpacing"/>
        <w:rPr>
          <w:szCs w:val="20"/>
        </w:rPr>
      </w:pPr>
    </w:p>
    <w:p w:rsidR="00CD5957" w:rsidRPr="00CD5957" w:rsidRDefault="00CD5957" w:rsidP="00CD5957"/>
    <w:p w:rsidR="00CD5957" w:rsidRPr="00CD5957" w:rsidRDefault="00CD5957" w:rsidP="00CD5957">
      <w:pPr>
        <w:rPr>
          <w:b/>
        </w:rPr>
      </w:pPr>
      <w:proofErr w:type="spellStart"/>
      <w:r w:rsidRPr="00CD5957">
        <w:rPr>
          <w:b/>
        </w:rPr>
        <w:lastRenderedPageBreak/>
        <w:t>BOSTES</w:t>
      </w:r>
      <w:proofErr w:type="spellEnd"/>
      <w:r w:rsidRPr="00CD5957">
        <w:rPr>
          <w:b/>
        </w:rPr>
        <w:t xml:space="preserve"> PRELIMINARY ASSESSMENT INFORMATION</w:t>
      </w:r>
    </w:p>
    <w:p w:rsidR="00CD5957" w:rsidRDefault="00CD5957" w:rsidP="00CD5957"/>
    <w:tbl>
      <w:tblPr>
        <w:tblW w:w="9781"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7513"/>
        <w:gridCol w:w="1701"/>
      </w:tblGrid>
      <w:tr w:rsidR="00CD5957" w:rsidRPr="00A87917" w:rsidTr="00CC48D1">
        <w:trPr>
          <w:trHeight w:val="146"/>
        </w:trPr>
        <w:tc>
          <w:tcPr>
            <w:tcW w:w="8080" w:type="dxa"/>
            <w:gridSpan w:val="2"/>
            <w:tcBorders>
              <w:top w:val="single" w:sz="8" w:space="0" w:color="000000"/>
              <w:bottom w:val="single" w:sz="8" w:space="0" w:color="000000"/>
              <w:right w:val="single" w:sz="8" w:space="0" w:color="000000"/>
            </w:tcBorders>
            <w:shd w:val="clear" w:color="auto" w:fill="CCC0D9" w:themeFill="accent4" w:themeFillTint="66"/>
          </w:tcPr>
          <w:p w:rsidR="00CD5957" w:rsidRPr="00A87917" w:rsidRDefault="00CD5957" w:rsidP="00CC48D1">
            <w:pPr>
              <w:autoSpaceDE w:val="0"/>
              <w:autoSpaceDN w:val="0"/>
              <w:adjustRightInd w:val="0"/>
              <w:jc w:val="center"/>
              <w:rPr>
                <w:color w:val="000000"/>
                <w:sz w:val="16"/>
                <w:szCs w:val="16"/>
              </w:rPr>
            </w:pPr>
            <w:r w:rsidRPr="00A87917">
              <w:rPr>
                <w:b/>
                <w:bCs/>
                <w:color w:val="000000"/>
                <w:sz w:val="16"/>
                <w:szCs w:val="16"/>
              </w:rPr>
              <w:t xml:space="preserve">Component </w:t>
            </w:r>
          </w:p>
        </w:tc>
        <w:tc>
          <w:tcPr>
            <w:tcW w:w="1701" w:type="dxa"/>
            <w:tcBorders>
              <w:top w:val="single" w:sz="8" w:space="0" w:color="000000"/>
              <w:left w:val="single" w:sz="8" w:space="0" w:color="000000"/>
              <w:bottom w:val="single" w:sz="8" w:space="0" w:color="000000"/>
            </w:tcBorders>
            <w:shd w:val="clear" w:color="auto" w:fill="CCC0D9" w:themeFill="accent4" w:themeFillTint="66"/>
          </w:tcPr>
          <w:p w:rsidR="00CD5957" w:rsidRPr="00A87917" w:rsidRDefault="00CD5957" w:rsidP="00CC48D1">
            <w:pPr>
              <w:autoSpaceDE w:val="0"/>
              <w:autoSpaceDN w:val="0"/>
              <w:adjustRightInd w:val="0"/>
              <w:jc w:val="center"/>
              <w:rPr>
                <w:color w:val="000000"/>
                <w:sz w:val="16"/>
                <w:szCs w:val="16"/>
              </w:rPr>
            </w:pPr>
            <w:r w:rsidRPr="00A87917">
              <w:rPr>
                <w:b/>
                <w:bCs/>
                <w:color w:val="000000"/>
                <w:sz w:val="16"/>
                <w:szCs w:val="16"/>
              </w:rPr>
              <w:t xml:space="preserve">Weighting </w:t>
            </w:r>
          </w:p>
        </w:tc>
      </w:tr>
      <w:tr w:rsidR="00CD5957" w:rsidRPr="00A87917" w:rsidTr="00CC48D1">
        <w:trPr>
          <w:trHeight w:val="144"/>
        </w:trPr>
        <w:tc>
          <w:tcPr>
            <w:tcW w:w="567" w:type="dxa"/>
            <w:tcBorders>
              <w:top w:val="single" w:sz="8" w:space="0" w:color="000000"/>
              <w:bottom w:val="single" w:sz="8" w:space="0" w:color="000000"/>
              <w:right w:val="single" w:sz="8" w:space="0" w:color="000000"/>
            </w:tcBorders>
            <w:vAlign w:val="center"/>
          </w:tcPr>
          <w:p w:rsidR="00CD5957" w:rsidRPr="005C639D" w:rsidRDefault="00CD5957" w:rsidP="00CC48D1">
            <w:pPr>
              <w:autoSpaceDE w:val="0"/>
              <w:autoSpaceDN w:val="0"/>
              <w:adjustRightInd w:val="0"/>
              <w:jc w:val="center"/>
              <w:rPr>
                <w:b/>
                <w:color w:val="000000"/>
                <w:sz w:val="16"/>
                <w:szCs w:val="16"/>
              </w:rPr>
            </w:pPr>
            <w:r>
              <w:rPr>
                <w:b/>
                <w:color w:val="000000"/>
                <w:sz w:val="16"/>
                <w:szCs w:val="16"/>
              </w:rPr>
              <w:t>A</w:t>
            </w:r>
          </w:p>
        </w:tc>
        <w:tc>
          <w:tcPr>
            <w:tcW w:w="7513" w:type="dxa"/>
            <w:tcBorders>
              <w:top w:val="single" w:sz="8" w:space="0" w:color="000000"/>
              <w:bottom w:val="single" w:sz="8" w:space="0" w:color="000000"/>
              <w:right w:val="single" w:sz="8" w:space="0" w:color="000000"/>
            </w:tcBorders>
            <w:vAlign w:val="center"/>
          </w:tcPr>
          <w:p w:rsidR="00CD5957" w:rsidRPr="00A87917" w:rsidRDefault="00CD5957" w:rsidP="00CC48D1">
            <w:pPr>
              <w:autoSpaceDE w:val="0"/>
              <w:autoSpaceDN w:val="0"/>
              <w:adjustRightInd w:val="0"/>
              <w:rPr>
                <w:color w:val="000000"/>
                <w:sz w:val="16"/>
                <w:szCs w:val="16"/>
              </w:rPr>
            </w:pPr>
            <w:r w:rsidRPr="00A87917">
              <w:rPr>
                <w:color w:val="000000"/>
                <w:sz w:val="16"/>
                <w:szCs w:val="16"/>
              </w:rPr>
              <w:t xml:space="preserve">Knowledge and understanding of course content </w:t>
            </w:r>
          </w:p>
        </w:tc>
        <w:tc>
          <w:tcPr>
            <w:tcW w:w="1701" w:type="dxa"/>
            <w:tcBorders>
              <w:top w:val="single" w:sz="8" w:space="0" w:color="000000"/>
              <w:left w:val="single" w:sz="8" w:space="0" w:color="000000"/>
              <w:bottom w:val="single" w:sz="8" w:space="0" w:color="000000"/>
            </w:tcBorders>
          </w:tcPr>
          <w:p w:rsidR="00CD5957" w:rsidRPr="00A87917" w:rsidRDefault="00CD5957" w:rsidP="00CC48D1">
            <w:pPr>
              <w:autoSpaceDE w:val="0"/>
              <w:autoSpaceDN w:val="0"/>
              <w:adjustRightInd w:val="0"/>
              <w:jc w:val="center"/>
              <w:rPr>
                <w:color w:val="000000"/>
                <w:sz w:val="16"/>
                <w:szCs w:val="16"/>
              </w:rPr>
            </w:pPr>
            <w:r w:rsidRPr="00A87917">
              <w:rPr>
                <w:color w:val="000000"/>
                <w:sz w:val="16"/>
                <w:szCs w:val="16"/>
              </w:rPr>
              <w:t xml:space="preserve">60 </w:t>
            </w:r>
          </w:p>
        </w:tc>
      </w:tr>
      <w:tr w:rsidR="00CD5957" w:rsidRPr="00A87917" w:rsidTr="00CC48D1">
        <w:trPr>
          <w:trHeight w:val="144"/>
        </w:trPr>
        <w:tc>
          <w:tcPr>
            <w:tcW w:w="567" w:type="dxa"/>
            <w:tcBorders>
              <w:top w:val="single" w:sz="8" w:space="0" w:color="000000"/>
              <w:bottom w:val="single" w:sz="8" w:space="0" w:color="000000"/>
              <w:right w:val="single" w:sz="8" w:space="0" w:color="000000"/>
            </w:tcBorders>
            <w:vAlign w:val="center"/>
          </w:tcPr>
          <w:p w:rsidR="00CD5957" w:rsidRPr="005C639D" w:rsidRDefault="00CD5957" w:rsidP="00CC48D1">
            <w:pPr>
              <w:autoSpaceDE w:val="0"/>
              <w:autoSpaceDN w:val="0"/>
              <w:adjustRightInd w:val="0"/>
              <w:jc w:val="center"/>
              <w:rPr>
                <w:b/>
                <w:color w:val="000000"/>
                <w:sz w:val="16"/>
                <w:szCs w:val="16"/>
              </w:rPr>
            </w:pPr>
            <w:r>
              <w:rPr>
                <w:b/>
                <w:color w:val="000000"/>
                <w:sz w:val="16"/>
                <w:szCs w:val="16"/>
              </w:rPr>
              <w:t>B</w:t>
            </w:r>
          </w:p>
        </w:tc>
        <w:tc>
          <w:tcPr>
            <w:tcW w:w="7513" w:type="dxa"/>
            <w:tcBorders>
              <w:top w:val="single" w:sz="8" w:space="0" w:color="000000"/>
              <w:bottom w:val="single" w:sz="8" w:space="0" w:color="000000"/>
              <w:right w:val="single" w:sz="8" w:space="0" w:color="000000"/>
            </w:tcBorders>
            <w:vAlign w:val="center"/>
          </w:tcPr>
          <w:p w:rsidR="00CD5957" w:rsidRPr="00A87917" w:rsidRDefault="00CD5957" w:rsidP="00CC48D1">
            <w:pPr>
              <w:autoSpaceDE w:val="0"/>
              <w:autoSpaceDN w:val="0"/>
              <w:adjustRightInd w:val="0"/>
              <w:rPr>
                <w:color w:val="000000"/>
                <w:sz w:val="16"/>
                <w:szCs w:val="16"/>
              </w:rPr>
            </w:pPr>
            <w:r w:rsidRPr="00A87917">
              <w:rPr>
                <w:color w:val="000000"/>
                <w:sz w:val="16"/>
                <w:szCs w:val="16"/>
              </w:rPr>
              <w:t xml:space="preserve">Inquiry and research </w:t>
            </w:r>
          </w:p>
        </w:tc>
        <w:tc>
          <w:tcPr>
            <w:tcW w:w="1701" w:type="dxa"/>
            <w:tcBorders>
              <w:top w:val="single" w:sz="8" w:space="0" w:color="000000"/>
              <w:left w:val="single" w:sz="8" w:space="0" w:color="000000"/>
              <w:bottom w:val="single" w:sz="8" w:space="0" w:color="000000"/>
            </w:tcBorders>
          </w:tcPr>
          <w:p w:rsidR="00CD5957" w:rsidRPr="00A87917" w:rsidRDefault="00CD5957" w:rsidP="00CC48D1">
            <w:pPr>
              <w:autoSpaceDE w:val="0"/>
              <w:autoSpaceDN w:val="0"/>
              <w:adjustRightInd w:val="0"/>
              <w:jc w:val="center"/>
              <w:rPr>
                <w:color w:val="000000"/>
                <w:sz w:val="16"/>
                <w:szCs w:val="16"/>
              </w:rPr>
            </w:pPr>
            <w:r w:rsidRPr="00A87917">
              <w:rPr>
                <w:color w:val="000000"/>
                <w:sz w:val="16"/>
                <w:szCs w:val="16"/>
              </w:rPr>
              <w:t xml:space="preserve">20 </w:t>
            </w:r>
          </w:p>
        </w:tc>
      </w:tr>
      <w:tr w:rsidR="00CD5957" w:rsidRPr="00A87917" w:rsidTr="00CC48D1">
        <w:trPr>
          <w:trHeight w:val="144"/>
        </w:trPr>
        <w:tc>
          <w:tcPr>
            <w:tcW w:w="567" w:type="dxa"/>
            <w:tcBorders>
              <w:top w:val="single" w:sz="8" w:space="0" w:color="000000"/>
              <w:bottom w:val="single" w:sz="8" w:space="0" w:color="000000"/>
              <w:right w:val="single" w:sz="8" w:space="0" w:color="000000"/>
            </w:tcBorders>
            <w:vAlign w:val="center"/>
          </w:tcPr>
          <w:p w:rsidR="00CD5957" w:rsidRPr="005C639D" w:rsidRDefault="00CD5957" w:rsidP="00CC48D1">
            <w:pPr>
              <w:autoSpaceDE w:val="0"/>
              <w:autoSpaceDN w:val="0"/>
              <w:adjustRightInd w:val="0"/>
              <w:jc w:val="center"/>
              <w:rPr>
                <w:b/>
                <w:color w:val="000000"/>
                <w:sz w:val="16"/>
                <w:szCs w:val="16"/>
              </w:rPr>
            </w:pPr>
            <w:r>
              <w:rPr>
                <w:b/>
                <w:color w:val="000000"/>
                <w:sz w:val="16"/>
                <w:szCs w:val="16"/>
              </w:rPr>
              <w:t>C</w:t>
            </w:r>
          </w:p>
        </w:tc>
        <w:tc>
          <w:tcPr>
            <w:tcW w:w="7513" w:type="dxa"/>
            <w:tcBorders>
              <w:top w:val="single" w:sz="8" w:space="0" w:color="000000"/>
              <w:bottom w:val="single" w:sz="8" w:space="0" w:color="000000"/>
              <w:right w:val="single" w:sz="8" w:space="0" w:color="000000"/>
            </w:tcBorders>
            <w:vAlign w:val="center"/>
          </w:tcPr>
          <w:p w:rsidR="00CD5957" w:rsidRPr="00A87917" w:rsidRDefault="00CD5957" w:rsidP="00CC48D1">
            <w:pPr>
              <w:autoSpaceDE w:val="0"/>
              <w:autoSpaceDN w:val="0"/>
              <w:adjustRightInd w:val="0"/>
              <w:rPr>
                <w:color w:val="000000"/>
                <w:sz w:val="16"/>
                <w:szCs w:val="16"/>
              </w:rPr>
            </w:pPr>
            <w:r w:rsidRPr="00A87917">
              <w:rPr>
                <w:color w:val="000000"/>
                <w:sz w:val="16"/>
                <w:szCs w:val="16"/>
              </w:rPr>
              <w:t xml:space="preserve">Communication of Legal Studies information, issues and ideas in appropriate forms </w:t>
            </w:r>
          </w:p>
        </w:tc>
        <w:tc>
          <w:tcPr>
            <w:tcW w:w="1701" w:type="dxa"/>
            <w:tcBorders>
              <w:top w:val="single" w:sz="8" w:space="0" w:color="000000"/>
              <w:left w:val="single" w:sz="8" w:space="0" w:color="000000"/>
              <w:bottom w:val="single" w:sz="8" w:space="0" w:color="000000"/>
            </w:tcBorders>
          </w:tcPr>
          <w:p w:rsidR="00CD5957" w:rsidRPr="00A87917" w:rsidRDefault="00CD5957" w:rsidP="00CC48D1">
            <w:pPr>
              <w:autoSpaceDE w:val="0"/>
              <w:autoSpaceDN w:val="0"/>
              <w:adjustRightInd w:val="0"/>
              <w:jc w:val="center"/>
              <w:rPr>
                <w:color w:val="000000"/>
                <w:sz w:val="16"/>
                <w:szCs w:val="16"/>
              </w:rPr>
            </w:pPr>
            <w:r w:rsidRPr="00A87917">
              <w:rPr>
                <w:color w:val="000000"/>
                <w:sz w:val="16"/>
                <w:szCs w:val="16"/>
              </w:rPr>
              <w:t xml:space="preserve">20 </w:t>
            </w:r>
          </w:p>
        </w:tc>
      </w:tr>
      <w:tr w:rsidR="00CD5957" w:rsidRPr="00A87917" w:rsidTr="00CC48D1">
        <w:trPr>
          <w:trHeight w:val="146"/>
        </w:trPr>
        <w:tc>
          <w:tcPr>
            <w:tcW w:w="8080" w:type="dxa"/>
            <w:gridSpan w:val="2"/>
            <w:tcBorders>
              <w:top w:val="single" w:sz="8" w:space="0" w:color="000000"/>
              <w:left w:val="nil"/>
              <w:bottom w:val="nil"/>
              <w:right w:val="single" w:sz="4" w:space="0" w:color="auto"/>
            </w:tcBorders>
          </w:tcPr>
          <w:p w:rsidR="00CD5957" w:rsidRPr="00A87917" w:rsidRDefault="00CD5957" w:rsidP="00CC48D1">
            <w:pPr>
              <w:autoSpaceDE w:val="0"/>
              <w:autoSpaceDN w:val="0"/>
              <w:adjustRightInd w:val="0"/>
              <w:jc w:val="center"/>
              <w:rPr>
                <w:color w:val="000000"/>
                <w:sz w:val="16"/>
                <w:szCs w:val="16"/>
              </w:rPr>
            </w:pPr>
          </w:p>
        </w:tc>
        <w:tc>
          <w:tcPr>
            <w:tcW w:w="1701" w:type="dxa"/>
            <w:tcBorders>
              <w:top w:val="single" w:sz="8" w:space="0" w:color="000000"/>
              <w:left w:val="single" w:sz="4" w:space="0" w:color="auto"/>
              <w:bottom w:val="single" w:sz="8" w:space="0" w:color="000000"/>
            </w:tcBorders>
            <w:shd w:val="clear" w:color="auto" w:fill="FDE9D9" w:themeFill="accent6" w:themeFillTint="33"/>
          </w:tcPr>
          <w:p w:rsidR="00CD5957" w:rsidRPr="00A87917" w:rsidRDefault="00CD5957" w:rsidP="00CC48D1">
            <w:pPr>
              <w:autoSpaceDE w:val="0"/>
              <w:autoSpaceDN w:val="0"/>
              <w:adjustRightInd w:val="0"/>
              <w:jc w:val="center"/>
              <w:rPr>
                <w:b/>
                <w:color w:val="000000"/>
                <w:sz w:val="16"/>
                <w:szCs w:val="16"/>
              </w:rPr>
            </w:pPr>
            <w:r w:rsidRPr="00A87917">
              <w:rPr>
                <w:b/>
                <w:color w:val="000000"/>
                <w:sz w:val="16"/>
                <w:szCs w:val="16"/>
              </w:rPr>
              <w:t>100</w:t>
            </w:r>
          </w:p>
        </w:tc>
      </w:tr>
    </w:tbl>
    <w:p w:rsidR="00CD5957" w:rsidRDefault="00CD5957" w:rsidP="00CD5957"/>
    <w:p w:rsidR="00CD5957" w:rsidRDefault="00CD5957" w:rsidP="00CD5957"/>
    <w:p w:rsidR="00CD5957" w:rsidRDefault="00CD5957" w:rsidP="00CD5957"/>
    <w:p w:rsidR="00403EF8" w:rsidRDefault="00403EF8" w:rsidP="00403EF8">
      <w:pPr>
        <w:pStyle w:val="BodyText"/>
        <w:spacing w:line="276" w:lineRule="auto"/>
        <w:rPr>
          <w:rFonts w:ascii="Arial" w:hAnsi="Arial" w:cs="Arial"/>
          <w:sz w:val="20"/>
          <w:szCs w:val="20"/>
        </w:rPr>
      </w:pPr>
      <w:r>
        <w:rPr>
          <w:rFonts w:ascii="Arial" w:hAnsi="Arial" w:cs="Arial"/>
          <w:sz w:val="20"/>
          <w:szCs w:val="20"/>
        </w:rPr>
        <w:t>EVIDENCE OF LEARNING (Assessment)</w:t>
      </w:r>
    </w:p>
    <w:p w:rsidR="00CD5957" w:rsidRPr="00E461F1" w:rsidRDefault="00CD5957" w:rsidP="00CD5957">
      <w:pPr>
        <w:rPr>
          <w:sz w:val="14"/>
        </w:rPr>
      </w:pPr>
    </w:p>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CD5957" w:rsidTr="00CC48D1">
        <w:trPr>
          <w:trHeight w:val="283"/>
        </w:trPr>
        <w:tc>
          <w:tcPr>
            <w:tcW w:w="534" w:type="dxa"/>
            <w:vMerge w:val="restart"/>
            <w:tcBorders>
              <w:bottom w:val="double" w:sz="4" w:space="0" w:color="C00000"/>
            </w:tcBorders>
            <w:shd w:val="clear" w:color="auto" w:fill="8DB3E2" w:themeFill="text2" w:themeFillTint="66"/>
            <w:vAlign w:val="center"/>
          </w:tcPr>
          <w:p w:rsidR="00CD5957" w:rsidRPr="001E3236" w:rsidRDefault="00CD5957" w:rsidP="00CC48D1">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CD5957" w:rsidRPr="00A62DF0" w:rsidRDefault="00CD5957" w:rsidP="00CC48D1">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CD5957" w:rsidRPr="00A62DF0" w:rsidRDefault="00CD5957" w:rsidP="00CC48D1">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CD5957" w:rsidRPr="00A62DF0" w:rsidRDefault="00CD5957" w:rsidP="00CC48D1">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CD5957" w:rsidRPr="00A62DF0" w:rsidRDefault="00CD5957" w:rsidP="00CC48D1">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CD5957" w:rsidRPr="00A62DF0" w:rsidRDefault="00CD5957" w:rsidP="00CC48D1">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CD5957" w:rsidRPr="00A62DF0" w:rsidRDefault="00CD5957" w:rsidP="00CC48D1">
            <w:pPr>
              <w:jc w:val="center"/>
              <w:rPr>
                <w:b/>
                <w:sz w:val="16"/>
                <w:szCs w:val="16"/>
              </w:rPr>
            </w:pPr>
            <w:r w:rsidRPr="007C4D79">
              <w:rPr>
                <w:b/>
                <w:sz w:val="12"/>
                <w:szCs w:val="16"/>
              </w:rPr>
              <w:t>Marks</w:t>
            </w:r>
          </w:p>
        </w:tc>
      </w:tr>
      <w:tr w:rsidR="00CD5957" w:rsidTr="00CC48D1">
        <w:tc>
          <w:tcPr>
            <w:tcW w:w="534" w:type="dxa"/>
            <w:vMerge/>
            <w:tcBorders>
              <w:bottom w:val="double" w:sz="4" w:space="0" w:color="C00000"/>
            </w:tcBorders>
          </w:tcPr>
          <w:p w:rsidR="00CD5957" w:rsidRDefault="00CD5957" w:rsidP="00CC48D1"/>
        </w:tc>
        <w:tc>
          <w:tcPr>
            <w:tcW w:w="1275" w:type="dxa"/>
            <w:vMerge/>
            <w:tcBorders>
              <w:bottom w:val="double" w:sz="4" w:space="0" w:color="C00000"/>
            </w:tcBorders>
          </w:tcPr>
          <w:p w:rsidR="00CD5957" w:rsidRDefault="00CD5957" w:rsidP="00CC48D1"/>
        </w:tc>
        <w:tc>
          <w:tcPr>
            <w:tcW w:w="2127" w:type="dxa"/>
            <w:vMerge/>
            <w:tcBorders>
              <w:bottom w:val="double" w:sz="4" w:space="0" w:color="C00000"/>
            </w:tcBorders>
          </w:tcPr>
          <w:p w:rsidR="00CD5957" w:rsidRDefault="00CD5957" w:rsidP="00CC48D1"/>
        </w:tc>
        <w:tc>
          <w:tcPr>
            <w:tcW w:w="2268" w:type="dxa"/>
            <w:vMerge/>
            <w:tcBorders>
              <w:bottom w:val="double" w:sz="4" w:space="0" w:color="C00000"/>
            </w:tcBorders>
          </w:tcPr>
          <w:p w:rsidR="00CD5957" w:rsidRDefault="00CD5957" w:rsidP="00CC48D1"/>
        </w:tc>
        <w:tc>
          <w:tcPr>
            <w:tcW w:w="992" w:type="dxa"/>
            <w:vMerge/>
            <w:tcBorders>
              <w:bottom w:val="double" w:sz="4" w:space="0" w:color="C00000"/>
            </w:tcBorders>
            <w:shd w:val="clear" w:color="auto" w:fill="B8CCE4" w:themeFill="accent1" w:themeFillTint="66"/>
          </w:tcPr>
          <w:p w:rsidR="00CD5957" w:rsidRPr="00A62DF0" w:rsidRDefault="00CD5957" w:rsidP="00CC48D1">
            <w:pPr>
              <w:jc w:val="center"/>
              <w:rPr>
                <w:sz w:val="16"/>
                <w:szCs w:val="16"/>
              </w:rPr>
            </w:pPr>
          </w:p>
        </w:tc>
        <w:tc>
          <w:tcPr>
            <w:tcW w:w="708" w:type="dxa"/>
            <w:tcBorders>
              <w:bottom w:val="double" w:sz="4" w:space="0" w:color="C00000"/>
            </w:tcBorders>
            <w:shd w:val="clear" w:color="auto" w:fill="B8CCE4" w:themeFill="accent1" w:themeFillTint="66"/>
            <w:vAlign w:val="center"/>
          </w:tcPr>
          <w:p w:rsidR="00CD5957" w:rsidRPr="00A62DF0" w:rsidRDefault="00CD5957" w:rsidP="00CC48D1">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CD5957" w:rsidRPr="00A62DF0" w:rsidRDefault="00CD5957" w:rsidP="00CC48D1">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CD5957" w:rsidRPr="00A62DF0" w:rsidRDefault="00CD5957" w:rsidP="00CC48D1">
            <w:pPr>
              <w:jc w:val="center"/>
              <w:rPr>
                <w:sz w:val="16"/>
                <w:szCs w:val="16"/>
              </w:rPr>
            </w:pPr>
            <w:r w:rsidRPr="00A62DF0">
              <w:rPr>
                <w:sz w:val="16"/>
                <w:szCs w:val="16"/>
              </w:rPr>
              <w:t>C</w:t>
            </w:r>
          </w:p>
        </w:tc>
        <w:tc>
          <w:tcPr>
            <w:tcW w:w="567" w:type="dxa"/>
            <w:vMerge/>
            <w:tcBorders>
              <w:bottom w:val="double" w:sz="4" w:space="0" w:color="C00000"/>
            </w:tcBorders>
          </w:tcPr>
          <w:p w:rsidR="00CD5957" w:rsidRDefault="00CD5957" w:rsidP="00CC48D1"/>
        </w:tc>
      </w:tr>
      <w:tr w:rsidR="00CD5957" w:rsidTr="00CC48D1">
        <w:trPr>
          <w:trHeight w:val="690"/>
        </w:trPr>
        <w:tc>
          <w:tcPr>
            <w:tcW w:w="534" w:type="dxa"/>
            <w:tcBorders>
              <w:top w:val="double" w:sz="4" w:space="0" w:color="C00000"/>
            </w:tcBorders>
            <w:vAlign w:val="center"/>
          </w:tcPr>
          <w:p w:rsidR="00CD5957" w:rsidRPr="00A62DF0" w:rsidRDefault="00CD5957" w:rsidP="00CC48D1">
            <w:pPr>
              <w:jc w:val="center"/>
              <w:rPr>
                <w:sz w:val="16"/>
                <w:szCs w:val="16"/>
              </w:rPr>
            </w:pPr>
            <w:r>
              <w:rPr>
                <w:sz w:val="16"/>
                <w:szCs w:val="16"/>
              </w:rPr>
              <w:t>1</w:t>
            </w:r>
          </w:p>
        </w:tc>
        <w:tc>
          <w:tcPr>
            <w:tcW w:w="1275" w:type="dxa"/>
            <w:tcBorders>
              <w:top w:val="double" w:sz="4" w:space="0" w:color="C00000"/>
            </w:tcBorders>
            <w:vAlign w:val="center"/>
          </w:tcPr>
          <w:p w:rsidR="00CD5957" w:rsidRPr="00A62DF0" w:rsidRDefault="00CD5957" w:rsidP="00CC48D1">
            <w:pPr>
              <w:rPr>
                <w:sz w:val="16"/>
                <w:szCs w:val="16"/>
              </w:rPr>
            </w:pPr>
            <w:r>
              <w:rPr>
                <w:sz w:val="16"/>
                <w:szCs w:val="16"/>
              </w:rPr>
              <w:t>P – 1, 2, 3, 4, 5, 6, 7</w:t>
            </w:r>
          </w:p>
        </w:tc>
        <w:tc>
          <w:tcPr>
            <w:tcW w:w="2127" w:type="dxa"/>
            <w:tcBorders>
              <w:top w:val="double" w:sz="4" w:space="0" w:color="C00000"/>
            </w:tcBorders>
            <w:vAlign w:val="center"/>
          </w:tcPr>
          <w:p w:rsidR="00CD5957" w:rsidRPr="00A62DF0" w:rsidRDefault="00CD5957" w:rsidP="00CC48D1">
            <w:pPr>
              <w:rPr>
                <w:sz w:val="16"/>
                <w:szCs w:val="16"/>
              </w:rPr>
            </w:pPr>
            <w:r>
              <w:rPr>
                <w:sz w:val="16"/>
                <w:szCs w:val="16"/>
              </w:rPr>
              <w:t>The Legal System</w:t>
            </w:r>
          </w:p>
        </w:tc>
        <w:tc>
          <w:tcPr>
            <w:tcW w:w="2268" w:type="dxa"/>
            <w:tcBorders>
              <w:top w:val="double" w:sz="4" w:space="0" w:color="C00000"/>
            </w:tcBorders>
            <w:vAlign w:val="center"/>
          </w:tcPr>
          <w:p w:rsidR="00CD5957" w:rsidRPr="00A62DF0" w:rsidRDefault="00CD5957" w:rsidP="00CC48D1">
            <w:pPr>
              <w:rPr>
                <w:sz w:val="16"/>
                <w:szCs w:val="16"/>
              </w:rPr>
            </w:pPr>
            <w:r>
              <w:rPr>
                <w:sz w:val="16"/>
                <w:szCs w:val="16"/>
              </w:rPr>
              <w:t>Mid-course Examination</w:t>
            </w:r>
          </w:p>
        </w:tc>
        <w:tc>
          <w:tcPr>
            <w:tcW w:w="992" w:type="dxa"/>
            <w:tcBorders>
              <w:top w:val="double" w:sz="4" w:space="0" w:color="C00000"/>
            </w:tcBorders>
            <w:vAlign w:val="center"/>
          </w:tcPr>
          <w:p w:rsidR="00CD5957" w:rsidRDefault="00CD5957" w:rsidP="00CC48D1">
            <w:pPr>
              <w:rPr>
                <w:sz w:val="16"/>
                <w:szCs w:val="16"/>
              </w:rPr>
            </w:pPr>
            <w:r>
              <w:rPr>
                <w:sz w:val="16"/>
                <w:szCs w:val="16"/>
              </w:rPr>
              <w:t>Term 1</w:t>
            </w:r>
          </w:p>
          <w:p w:rsidR="00CD5957" w:rsidRPr="00A62DF0" w:rsidRDefault="00CD5957" w:rsidP="00CC48D1">
            <w:pPr>
              <w:rPr>
                <w:sz w:val="16"/>
                <w:szCs w:val="16"/>
              </w:rPr>
            </w:pPr>
            <w:r>
              <w:rPr>
                <w:sz w:val="16"/>
                <w:szCs w:val="16"/>
              </w:rPr>
              <w:t>Week 9</w:t>
            </w:r>
          </w:p>
        </w:tc>
        <w:tc>
          <w:tcPr>
            <w:tcW w:w="708" w:type="dxa"/>
            <w:tcBorders>
              <w:top w:val="double" w:sz="4" w:space="0" w:color="C00000"/>
            </w:tcBorders>
            <w:vAlign w:val="center"/>
          </w:tcPr>
          <w:p w:rsidR="00CD5957" w:rsidRPr="00B46BD4" w:rsidRDefault="00CD5957" w:rsidP="00CC48D1">
            <w:pPr>
              <w:jc w:val="center"/>
              <w:rPr>
                <w:sz w:val="12"/>
                <w:szCs w:val="16"/>
              </w:rPr>
            </w:pPr>
            <w:r>
              <w:rPr>
                <w:sz w:val="12"/>
                <w:szCs w:val="16"/>
              </w:rPr>
              <w:t>20%</w:t>
            </w:r>
          </w:p>
        </w:tc>
        <w:tc>
          <w:tcPr>
            <w:tcW w:w="709" w:type="dxa"/>
            <w:tcBorders>
              <w:top w:val="double" w:sz="4" w:space="0" w:color="C00000"/>
            </w:tcBorders>
            <w:vAlign w:val="center"/>
          </w:tcPr>
          <w:p w:rsidR="00CD5957" w:rsidRPr="00B46BD4" w:rsidRDefault="00CD5957" w:rsidP="00CC48D1">
            <w:pPr>
              <w:jc w:val="center"/>
              <w:rPr>
                <w:sz w:val="12"/>
                <w:szCs w:val="16"/>
              </w:rPr>
            </w:pPr>
          </w:p>
        </w:tc>
        <w:tc>
          <w:tcPr>
            <w:tcW w:w="709" w:type="dxa"/>
            <w:tcBorders>
              <w:top w:val="double" w:sz="4" w:space="0" w:color="C00000"/>
            </w:tcBorders>
            <w:vAlign w:val="center"/>
          </w:tcPr>
          <w:p w:rsidR="00CD5957" w:rsidRPr="00B46BD4" w:rsidRDefault="00CD5957" w:rsidP="00CC48D1">
            <w:pPr>
              <w:jc w:val="center"/>
              <w:rPr>
                <w:sz w:val="12"/>
                <w:szCs w:val="16"/>
              </w:rPr>
            </w:pPr>
            <w:r>
              <w:rPr>
                <w:sz w:val="12"/>
                <w:szCs w:val="16"/>
              </w:rPr>
              <w:t>5%</w:t>
            </w:r>
          </w:p>
        </w:tc>
        <w:tc>
          <w:tcPr>
            <w:tcW w:w="567" w:type="dxa"/>
            <w:tcBorders>
              <w:top w:val="double" w:sz="4" w:space="0" w:color="C00000"/>
            </w:tcBorders>
            <w:vAlign w:val="center"/>
          </w:tcPr>
          <w:p w:rsidR="00CD5957" w:rsidRPr="00A62DF0" w:rsidRDefault="00CD5957" w:rsidP="00CC48D1">
            <w:pPr>
              <w:jc w:val="center"/>
              <w:rPr>
                <w:sz w:val="16"/>
                <w:szCs w:val="16"/>
              </w:rPr>
            </w:pPr>
            <w:r>
              <w:rPr>
                <w:sz w:val="16"/>
                <w:szCs w:val="16"/>
              </w:rPr>
              <w:t>25%</w:t>
            </w:r>
          </w:p>
        </w:tc>
      </w:tr>
      <w:tr w:rsidR="00CD5957" w:rsidTr="00CC48D1">
        <w:trPr>
          <w:trHeight w:val="690"/>
        </w:trPr>
        <w:tc>
          <w:tcPr>
            <w:tcW w:w="534" w:type="dxa"/>
            <w:vAlign w:val="center"/>
          </w:tcPr>
          <w:p w:rsidR="00CD5957" w:rsidRPr="00A62DF0" w:rsidRDefault="00CD5957" w:rsidP="00CC48D1">
            <w:pPr>
              <w:jc w:val="center"/>
              <w:rPr>
                <w:sz w:val="16"/>
                <w:szCs w:val="16"/>
              </w:rPr>
            </w:pPr>
            <w:r>
              <w:rPr>
                <w:sz w:val="16"/>
                <w:szCs w:val="16"/>
              </w:rPr>
              <w:t>2</w:t>
            </w:r>
          </w:p>
        </w:tc>
        <w:tc>
          <w:tcPr>
            <w:tcW w:w="1275" w:type="dxa"/>
            <w:vAlign w:val="center"/>
          </w:tcPr>
          <w:p w:rsidR="00CD5957" w:rsidRPr="00A62DF0" w:rsidRDefault="00CD5957" w:rsidP="00CC48D1">
            <w:pPr>
              <w:rPr>
                <w:sz w:val="16"/>
                <w:szCs w:val="16"/>
              </w:rPr>
            </w:pPr>
            <w:r>
              <w:rPr>
                <w:sz w:val="16"/>
                <w:szCs w:val="16"/>
              </w:rPr>
              <w:t>P – 1, 3, 6, 7, 8, 9</w:t>
            </w:r>
          </w:p>
        </w:tc>
        <w:tc>
          <w:tcPr>
            <w:tcW w:w="2127" w:type="dxa"/>
            <w:vAlign w:val="center"/>
          </w:tcPr>
          <w:p w:rsidR="00CD5957" w:rsidRPr="00A62DF0" w:rsidRDefault="00CD5957" w:rsidP="00CC48D1">
            <w:pPr>
              <w:rPr>
                <w:sz w:val="16"/>
                <w:szCs w:val="16"/>
              </w:rPr>
            </w:pPr>
            <w:r>
              <w:rPr>
                <w:sz w:val="16"/>
                <w:szCs w:val="16"/>
              </w:rPr>
              <w:t>The individual and the law</w:t>
            </w:r>
          </w:p>
        </w:tc>
        <w:tc>
          <w:tcPr>
            <w:tcW w:w="2268" w:type="dxa"/>
            <w:vAlign w:val="center"/>
          </w:tcPr>
          <w:p w:rsidR="00CD5957" w:rsidRPr="00A62DF0" w:rsidRDefault="00CD5957" w:rsidP="00CC48D1">
            <w:pPr>
              <w:rPr>
                <w:sz w:val="16"/>
                <w:szCs w:val="16"/>
              </w:rPr>
            </w:pPr>
            <w:r>
              <w:rPr>
                <w:sz w:val="16"/>
                <w:szCs w:val="16"/>
              </w:rPr>
              <w:t>Research task and extended response</w:t>
            </w:r>
          </w:p>
        </w:tc>
        <w:tc>
          <w:tcPr>
            <w:tcW w:w="992" w:type="dxa"/>
            <w:vAlign w:val="center"/>
          </w:tcPr>
          <w:p w:rsidR="00CD5957" w:rsidRDefault="00CD5957" w:rsidP="00CC48D1">
            <w:pPr>
              <w:rPr>
                <w:sz w:val="16"/>
                <w:szCs w:val="16"/>
              </w:rPr>
            </w:pPr>
            <w:r>
              <w:rPr>
                <w:sz w:val="16"/>
                <w:szCs w:val="16"/>
              </w:rPr>
              <w:t>Term 2</w:t>
            </w:r>
          </w:p>
          <w:p w:rsidR="00CD5957" w:rsidRPr="00A62DF0" w:rsidRDefault="00CD5957" w:rsidP="00CC48D1">
            <w:pPr>
              <w:rPr>
                <w:sz w:val="16"/>
                <w:szCs w:val="16"/>
              </w:rPr>
            </w:pPr>
            <w:r>
              <w:rPr>
                <w:sz w:val="16"/>
                <w:szCs w:val="16"/>
              </w:rPr>
              <w:t>Week 9</w:t>
            </w:r>
          </w:p>
        </w:tc>
        <w:tc>
          <w:tcPr>
            <w:tcW w:w="708" w:type="dxa"/>
            <w:vAlign w:val="center"/>
          </w:tcPr>
          <w:p w:rsidR="00CD5957" w:rsidRPr="00B46BD4" w:rsidRDefault="00CD5957" w:rsidP="00CC48D1">
            <w:pPr>
              <w:jc w:val="center"/>
              <w:rPr>
                <w:sz w:val="12"/>
                <w:szCs w:val="16"/>
              </w:rPr>
            </w:pPr>
            <w:r>
              <w:rPr>
                <w:sz w:val="12"/>
                <w:szCs w:val="16"/>
              </w:rPr>
              <w:t>10%</w:t>
            </w:r>
          </w:p>
        </w:tc>
        <w:tc>
          <w:tcPr>
            <w:tcW w:w="709" w:type="dxa"/>
            <w:vAlign w:val="center"/>
          </w:tcPr>
          <w:p w:rsidR="00CD5957" w:rsidRPr="00B46BD4" w:rsidRDefault="00CD5957" w:rsidP="00CC48D1">
            <w:pPr>
              <w:jc w:val="center"/>
              <w:rPr>
                <w:sz w:val="12"/>
                <w:szCs w:val="16"/>
              </w:rPr>
            </w:pPr>
            <w:r>
              <w:rPr>
                <w:sz w:val="12"/>
                <w:szCs w:val="16"/>
              </w:rPr>
              <w:t>20%</w:t>
            </w:r>
          </w:p>
        </w:tc>
        <w:tc>
          <w:tcPr>
            <w:tcW w:w="709" w:type="dxa"/>
            <w:vAlign w:val="center"/>
          </w:tcPr>
          <w:p w:rsidR="00CD5957" w:rsidRPr="00B46BD4" w:rsidRDefault="00CD5957" w:rsidP="00CC48D1">
            <w:pPr>
              <w:jc w:val="center"/>
              <w:rPr>
                <w:sz w:val="12"/>
                <w:szCs w:val="16"/>
              </w:rPr>
            </w:pPr>
            <w:r>
              <w:rPr>
                <w:sz w:val="12"/>
                <w:szCs w:val="16"/>
              </w:rPr>
              <w:t>5%</w:t>
            </w:r>
          </w:p>
        </w:tc>
        <w:tc>
          <w:tcPr>
            <w:tcW w:w="567" w:type="dxa"/>
            <w:vAlign w:val="center"/>
          </w:tcPr>
          <w:p w:rsidR="00CD5957" w:rsidRPr="00A62DF0" w:rsidRDefault="00CD5957" w:rsidP="00CC48D1">
            <w:pPr>
              <w:jc w:val="center"/>
              <w:rPr>
                <w:sz w:val="16"/>
                <w:szCs w:val="16"/>
              </w:rPr>
            </w:pPr>
            <w:r>
              <w:rPr>
                <w:sz w:val="16"/>
                <w:szCs w:val="16"/>
              </w:rPr>
              <w:t>35%</w:t>
            </w:r>
          </w:p>
        </w:tc>
      </w:tr>
      <w:tr w:rsidR="00CD5957" w:rsidTr="00CC48D1">
        <w:trPr>
          <w:trHeight w:val="690"/>
        </w:trPr>
        <w:tc>
          <w:tcPr>
            <w:tcW w:w="534" w:type="dxa"/>
            <w:vAlign w:val="center"/>
          </w:tcPr>
          <w:p w:rsidR="00CD5957" w:rsidRPr="00A62DF0" w:rsidRDefault="00CD5957" w:rsidP="00CC48D1">
            <w:pPr>
              <w:jc w:val="center"/>
              <w:rPr>
                <w:sz w:val="16"/>
                <w:szCs w:val="16"/>
              </w:rPr>
            </w:pPr>
            <w:r>
              <w:rPr>
                <w:sz w:val="16"/>
                <w:szCs w:val="16"/>
              </w:rPr>
              <w:t>3</w:t>
            </w:r>
          </w:p>
        </w:tc>
        <w:tc>
          <w:tcPr>
            <w:tcW w:w="1275" w:type="dxa"/>
            <w:vAlign w:val="center"/>
          </w:tcPr>
          <w:p w:rsidR="00CD5957" w:rsidRPr="00A62DF0" w:rsidRDefault="00CD5957" w:rsidP="00CC48D1">
            <w:pPr>
              <w:rPr>
                <w:sz w:val="16"/>
                <w:szCs w:val="16"/>
              </w:rPr>
            </w:pPr>
            <w:r>
              <w:rPr>
                <w:sz w:val="16"/>
                <w:szCs w:val="16"/>
              </w:rPr>
              <w:t>P – 1, 2, 3, 4, 5, 6, 7, 9, 10</w:t>
            </w:r>
          </w:p>
        </w:tc>
        <w:tc>
          <w:tcPr>
            <w:tcW w:w="2127" w:type="dxa"/>
            <w:vAlign w:val="center"/>
          </w:tcPr>
          <w:p w:rsidR="00CD5957" w:rsidRPr="00A62DF0" w:rsidRDefault="00CD5957" w:rsidP="00CC48D1">
            <w:pPr>
              <w:rPr>
                <w:sz w:val="16"/>
                <w:szCs w:val="16"/>
              </w:rPr>
            </w:pPr>
            <w:r>
              <w:rPr>
                <w:sz w:val="16"/>
                <w:szCs w:val="16"/>
              </w:rPr>
              <w:t>The legal system, the individual and the law and the Law in Practice</w:t>
            </w:r>
          </w:p>
        </w:tc>
        <w:tc>
          <w:tcPr>
            <w:tcW w:w="2268" w:type="dxa"/>
            <w:vAlign w:val="center"/>
          </w:tcPr>
          <w:p w:rsidR="00CD5957" w:rsidRPr="00A62DF0" w:rsidRDefault="00CD5957" w:rsidP="00CC48D1">
            <w:pPr>
              <w:rPr>
                <w:sz w:val="16"/>
                <w:szCs w:val="16"/>
              </w:rPr>
            </w:pPr>
            <w:r>
              <w:rPr>
                <w:sz w:val="16"/>
                <w:szCs w:val="16"/>
              </w:rPr>
              <w:t>End of course examination</w:t>
            </w:r>
          </w:p>
        </w:tc>
        <w:tc>
          <w:tcPr>
            <w:tcW w:w="992" w:type="dxa"/>
            <w:vAlign w:val="center"/>
          </w:tcPr>
          <w:p w:rsidR="00CD5957" w:rsidRDefault="00CD5957" w:rsidP="00CC48D1">
            <w:pPr>
              <w:rPr>
                <w:sz w:val="16"/>
                <w:szCs w:val="16"/>
              </w:rPr>
            </w:pPr>
            <w:r>
              <w:rPr>
                <w:sz w:val="16"/>
                <w:szCs w:val="16"/>
              </w:rPr>
              <w:t>Term 3</w:t>
            </w:r>
          </w:p>
          <w:p w:rsidR="00CD5957" w:rsidRPr="00A62DF0" w:rsidRDefault="00CD5957" w:rsidP="00CC48D1">
            <w:pPr>
              <w:rPr>
                <w:sz w:val="16"/>
                <w:szCs w:val="16"/>
              </w:rPr>
            </w:pPr>
            <w:proofErr w:type="spellStart"/>
            <w:r>
              <w:rPr>
                <w:sz w:val="16"/>
                <w:szCs w:val="16"/>
              </w:rPr>
              <w:t>Wks</w:t>
            </w:r>
            <w:proofErr w:type="spellEnd"/>
            <w:r>
              <w:rPr>
                <w:sz w:val="16"/>
                <w:szCs w:val="16"/>
              </w:rPr>
              <w:t xml:space="preserve"> 9-10</w:t>
            </w:r>
          </w:p>
        </w:tc>
        <w:tc>
          <w:tcPr>
            <w:tcW w:w="708" w:type="dxa"/>
            <w:vAlign w:val="center"/>
          </w:tcPr>
          <w:p w:rsidR="00CD5957" w:rsidRPr="00B46BD4" w:rsidRDefault="00CD5957" w:rsidP="00CC48D1">
            <w:pPr>
              <w:jc w:val="center"/>
              <w:rPr>
                <w:sz w:val="12"/>
                <w:szCs w:val="16"/>
              </w:rPr>
            </w:pPr>
            <w:r>
              <w:rPr>
                <w:sz w:val="12"/>
                <w:szCs w:val="16"/>
              </w:rPr>
              <w:t>30%</w:t>
            </w:r>
          </w:p>
        </w:tc>
        <w:tc>
          <w:tcPr>
            <w:tcW w:w="709" w:type="dxa"/>
            <w:vAlign w:val="center"/>
          </w:tcPr>
          <w:p w:rsidR="00CD5957" w:rsidRPr="00B46BD4" w:rsidRDefault="00CD5957" w:rsidP="00CC48D1">
            <w:pPr>
              <w:rPr>
                <w:sz w:val="12"/>
                <w:szCs w:val="16"/>
              </w:rPr>
            </w:pPr>
          </w:p>
        </w:tc>
        <w:tc>
          <w:tcPr>
            <w:tcW w:w="709" w:type="dxa"/>
            <w:vAlign w:val="center"/>
          </w:tcPr>
          <w:p w:rsidR="00CD5957" w:rsidRPr="00B46BD4" w:rsidRDefault="00CD5957" w:rsidP="00CC48D1">
            <w:pPr>
              <w:jc w:val="center"/>
              <w:rPr>
                <w:sz w:val="12"/>
                <w:szCs w:val="16"/>
              </w:rPr>
            </w:pPr>
            <w:r>
              <w:rPr>
                <w:sz w:val="12"/>
                <w:szCs w:val="16"/>
              </w:rPr>
              <w:t>10%</w:t>
            </w:r>
          </w:p>
        </w:tc>
        <w:tc>
          <w:tcPr>
            <w:tcW w:w="567" w:type="dxa"/>
            <w:vAlign w:val="center"/>
          </w:tcPr>
          <w:p w:rsidR="00CD5957" w:rsidRPr="00A62DF0" w:rsidRDefault="00CD5957" w:rsidP="00CC48D1">
            <w:pPr>
              <w:jc w:val="center"/>
              <w:rPr>
                <w:sz w:val="16"/>
                <w:szCs w:val="16"/>
              </w:rPr>
            </w:pPr>
            <w:r>
              <w:rPr>
                <w:sz w:val="16"/>
                <w:szCs w:val="16"/>
              </w:rPr>
              <w:t>40%</w:t>
            </w:r>
          </w:p>
        </w:tc>
      </w:tr>
      <w:tr w:rsidR="00CD5957" w:rsidTr="00CC48D1">
        <w:trPr>
          <w:trHeight w:val="368"/>
        </w:trPr>
        <w:tc>
          <w:tcPr>
            <w:tcW w:w="7196" w:type="dxa"/>
            <w:gridSpan w:val="5"/>
            <w:tcBorders>
              <w:bottom w:val="single" w:sz="4" w:space="0" w:color="auto"/>
            </w:tcBorders>
            <w:shd w:val="clear" w:color="auto" w:fill="E5B8B7" w:themeFill="accent2" w:themeFillTint="66"/>
            <w:vAlign w:val="center"/>
          </w:tcPr>
          <w:p w:rsidR="00CD5957" w:rsidRPr="00B34F76" w:rsidRDefault="00CD5957" w:rsidP="00CC48D1">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CD5957" w:rsidRPr="00790A7A" w:rsidRDefault="00CD5957" w:rsidP="00CC48D1">
            <w:pPr>
              <w:jc w:val="center"/>
              <w:rPr>
                <w:b/>
                <w:sz w:val="14"/>
                <w:szCs w:val="16"/>
              </w:rPr>
            </w:pPr>
            <w:r>
              <w:rPr>
                <w:b/>
                <w:sz w:val="14"/>
                <w:szCs w:val="16"/>
              </w:rPr>
              <w:t>60%</w:t>
            </w:r>
          </w:p>
        </w:tc>
        <w:tc>
          <w:tcPr>
            <w:tcW w:w="709" w:type="dxa"/>
            <w:tcBorders>
              <w:bottom w:val="single" w:sz="4" w:space="0" w:color="auto"/>
            </w:tcBorders>
            <w:shd w:val="clear" w:color="auto" w:fill="E5B8B7" w:themeFill="accent2" w:themeFillTint="66"/>
            <w:vAlign w:val="center"/>
          </w:tcPr>
          <w:p w:rsidR="00CD5957" w:rsidRPr="00790A7A" w:rsidRDefault="00CD5957" w:rsidP="00CC48D1">
            <w:pPr>
              <w:jc w:val="center"/>
              <w:rPr>
                <w:b/>
                <w:sz w:val="14"/>
                <w:szCs w:val="16"/>
              </w:rPr>
            </w:pPr>
            <w:r>
              <w:rPr>
                <w:b/>
                <w:sz w:val="14"/>
                <w:szCs w:val="16"/>
              </w:rPr>
              <w:t>20%</w:t>
            </w:r>
          </w:p>
        </w:tc>
        <w:tc>
          <w:tcPr>
            <w:tcW w:w="709" w:type="dxa"/>
            <w:tcBorders>
              <w:bottom w:val="single" w:sz="4" w:space="0" w:color="auto"/>
            </w:tcBorders>
            <w:shd w:val="clear" w:color="auto" w:fill="E5B8B7" w:themeFill="accent2" w:themeFillTint="66"/>
            <w:vAlign w:val="center"/>
          </w:tcPr>
          <w:p w:rsidR="00CD5957" w:rsidRPr="00790A7A" w:rsidRDefault="00CD5957" w:rsidP="00CC48D1">
            <w:pPr>
              <w:jc w:val="center"/>
              <w:rPr>
                <w:b/>
                <w:sz w:val="14"/>
                <w:szCs w:val="16"/>
              </w:rPr>
            </w:pPr>
            <w:r>
              <w:rPr>
                <w:b/>
                <w:sz w:val="14"/>
                <w:szCs w:val="16"/>
              </w:rPr>
              <w:t>20%</w:t>
            </w:r>
          </w:p>
        </w:tc>
        <w:tc>
          <w:tcPr>
            <w:tcW w:w="567" w:type="dxa"/>
            <w:shd w:val="clear" w:color="auto" w:fill="E5B8B7" w:themeFill="accent2" w:themeFillTint="66"/>
            <w:vAlign w:val="center"/>
          </w:tcPr>
          <w:p w:rsidR="00CD5957" w:rsidRPr="00B34F76" w:rsidRDefault="00CD5957" w:rsidP="00CC48D1">
            <w:pPr>
              <w:jc w:val="center"/>
              <w:rPr>
                <w:b/>
                <w:sz w:val="16"/>
                <w:szCs w:val="16"/>
              </w:rPr>
            </w:pPr>
            <w:r>
              <w:rPr>
                <w:b/>
                <w:sz w:val="16"/>
                <w:szCs w:val="16"/>
              </w:rPr>
              <w:t>100%</w:t>
            </w:r>
          </w:p>
        </w:tc>
      </w:tr>
    </w:tbl>
    <w:p w:rsidR="00A37CD0" w:rsidRDefault="00A37CD0"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81C63" w:rsidRDefault="00D81C63" w:rsidP="00D81C63">
      <w:pPr>
        <w:rPr>
          <w:rFonts w:eastAsia="Times New Roman"/>
          <w:b/>
          <w:color w:val="333333"/>
          <w:lang w:val="en-US" w:eastAsia="en-AU"/>
        </w:rPr>
      </w:pPr>
      <w:bookmarkStart w:id="0" w:name="_GoBack"/>
      <w:r>
        <w:rPr>
          <w:b/>
          <w:color w:val="333333"/>
          <w:lang w:val="en-US"/>
        </w:rPr>
        <w:br w:type="page"/>
      </w:r>
    </w:p>
    <w:bookmarkEnd w:id="0"/>
    <w:p w:rsidR="00D81C63" w:rsidRDefault="00D81C63" w:rsidP="00D81C63">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D81C63" w:rsidRDefault="00D81C63" w:rsidP="00D81C63">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D81C63" w:rsidRDefault="00D81C63" w:rsidP="00D81C63">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D81C63" w:rsidTr="00D81C6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1C63" w:rsidRDefault="00D81C63">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D81C63" w:rsidRDefault="00D81C6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D81C63" w:rsidTr="00D81C6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1C63" w:rsidRDefault="00D81C63">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D81C63" w:rsidRDefault="00D81C6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D81C63" w:rsidTr="00D81C6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1C63" w:rsidRDefault="00D81C63">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D81C63" w:rsidRDefault="00D81C6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D81C63" w:rsidTr="00D81C6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1C63" w:rsidRDefault="00D81C63">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D81C63" w:rsidRDefault="00D81C6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D81C63" w:rsidTr="00D81C6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1C63" w:rsidRDefault="00D81C63">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D81C63" w:rsidRDefault="00D81C6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D81C63" w:rsidRDefault="00D81C63" w:rsidP="00D81C6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81C63" w:rsidRPr="00DF675E" w:rsidRDefault="00D81C63"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sectPr w:rsidR="00D81C63" w:rsidRPr="00DF675E"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D6" w:rsidRDefault="007144D6" w:rsidP="00210508">
      <w:r>
        <w:separator/>
      </w:r>
    </w:p>
  </w:endnote>
  <w:endnote w:type="continuationSeparator" w:id="0">
    <w:p w:rsidR="007144D6" w:rsidRDefault="007144D6"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D6" w:rsidRDefault="007144D6" w:rsidP="00210508">
      <w:r>
        <w:separator/>
      </w:r>
    </w:p>
  </w:footnote>
  <w:footnote w:type="continuationSeparator" w:id="0">
    <w:p w:rsidR="007144D6" w:rsidRDefault="007144D6"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892F13"/>
    <w:multiLevelType w:val="hybridMultilevel"/>
    <w:tmpl w:val="63B0B5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EC38B8"/>
    <w:multiLevelType w:val="hybridMultilevel"/>
    <w:tmpl w:val="323EC96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0C6796"/>
    <w:multiLevelType w:val="hybridMultilevel"/>
    <w:tmpl w:val="50BA67D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8">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9"/>
  </w:num>
  <w:num w:numId="5">
    <w:abstractNumId w:val="3"/>
  </w:num>
  <w:num w:numId="6">
    <w:abstractNumId w:val="7"/>
  </w:num>
  <w:num w:numId="7">
    <w:abstractNumId w:val="19"/>
  </w:num>
  <w:num w:numId="8">
    <w:abstractNumId w:val="17"/>
  </w:num>
  <w:num w:numId="9">
    <w:abstractNumId w:val="20"/>
  </w:num>
  <w:num w:numId="10">
    <w:abstractNumId w:val="2"/>
  </w:num>
  <w:num w:numId="11">
    <w:abstractNumId w:val="14"/>
  </w:num>
  <w:num w:numId="12">
    <w:abstractNumId w:val="18"/>
  </w:num>
  <w:num w:numId="13">
    <w:abstractNumId w:val="15"/>
  </w:num>
  <w:num w:numId="14">
    <w:abstractNumId w:val="8"/>
  </w:num>
  <w:num w:numId="15">
    <w:abstractNumId w:val="16"/>
  </w:num>
  <w:num w:numId="16">
    <w:abstractNumId w:val="4"/>
  </w:num>
  <w:num w:numId="17">
    <w:abstractNumId w:val="1"/>
  </w:num>
  <w:num w:numId="18">
    <w:abstractNumId w:val="0"/>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1779E4"/>
    <w:rsid w:val="001F1D3B"/>
    <w:rsid w:val="00210508"/>
    <w:rsid w:val="00287CED"/>
    <w:rsid w:val="002F4C23"/>
    <w:rsid w:val="00403EF8"/>
    <w:rsid w:val="00431BF5"/>
    <w:rsid w:val="004F3A05"/>
    <w:rsid w:val="005010E8"/>
    <w:rsid w:val="00542E44"/>
    <w:rsid w:val="00573DF3"/>
    <w:rsid w:val="00605DCF"/>
    <w:rsid w:val="00625DA0"/>
    <w:rsid w:val="006674C3"/>
    <w:rsid w:val="00697C66"/>
    <w:rsid w:val="00703ECA"/>
    <w:rsid w:val="00706C03"/>
    <w:rsid w:val="00711FB2"/>
    <w:rsid w:val="007144D6"/>
    <w:rsid w:val="00735DCF"/>
    <w:rsid w:val="0074146A"/>
    <w:rsid w:val="00762891"/>
    <w:rsid w:val="007910F1"/>
    <w:rsid w:val="007C1B4F"/>
    <w:rsid w:val="00801C75"/>
    <w:rsid w:val="00846B01"/>
    <w:rsid w:val="009217EB"/>
    <w:rsid w:val="00923226"/>
    <w:rsid w:val="0097469D"/>
    <w:rsid w:val="009E527C"/>
    <w:rsid w:val="00A012A0"/>
    <w:rsid w:val="00A01ABB"/>
    <w:rsid w:val="00A046B5"/>
    <w:rsid w:val="00A277D6"/>
    <w:rsid w:val="00A37CD0"/>
    <w:rsid w:val="00A848F3"/>
    <w:rsid w:val="00B61893"/>
    <w:rsid w:val="00BA63A8"/>
    <w:rsid w:val="00C35925"/>
    <w:rsid w:val="00C778AC"/>
    <w:rsid w:val="00CC4C76"/>
    <w:rsid w:val="00CD5957"/>
    <w:rsid w:val="00D03608"/>
    <w:rsid w:val="00D81C63"/>
    <w:rsid w:val="00DB184C"/>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D81C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37CD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37CD0"/>
    <w:rPr>
      <w:rFonts w:ascii="Times New Roman" w:eastAsia="Times New Roman" w:hAnsi="Times New Roman" w:cs="Times New Roman"/>
      <w:b/>
      <w:bCs/>
      <w:sz w:val="24"/>
      <w:szCs w:val="24"/>
    </w:rPr>
  </w:style>
  <w:style w:type="paragraph" w:customStyle="1" w:styleId="Default">
    <w:name w:val="Default"/>
    <w:rsid w:val="00A37CD0"/>
    <w:pPr>
      <w:autoSpaceDE w:val="0"/>
      <w:autoSpaceDN w:val="0"/>
      <w:adjustRightInd w:val="0"/>
    </w:pPr>
    <w:rPr>
      <w:rFonts w:eastAsia="Times New Roman"/>
      <w:color w:val="000000"/>
      <w:sz w:val="24"/>
      <w:szCs w:val="24"/>
      <w:lang w:eastAsia="en-AU"/>
    </w:rPr>
  </w:style>
  <w:style w:type="character" w:customStyle="1" w:styleId="NoSpacingChar">
    <w:name w:val="No Spacing Char"/>
    <w:link w:val="NoSpacing"/>
    <w:uiPriority w:val="1"/>
    <w:locked/>
    <w:rsid w:val="00CD5957"/>
    <w:rPr>
      <w:rFonts w:eastAsia="Calibri"/>
      <w:szCs w:val="22"/>
      <w:lang w:val="en-US" w:bidi="en-US"/>
    </w:rPr>
  </w:style>
  <w:style w:type="paragraph" w:styleId="NoSpacing">
    <w:name w:val="No Spacing"/>
    <w:basedOn w:val="Normal"/>
    <w:link w:val="NoSpacingChar"/>
    <w:uiPriority w:val="1"/>
    <w:qFormat/>
    <w:rsid w:val="00CD5957"/>
    <w:rPr>
      <w:rFonts w:eastAsia="Calibri"/>
      <w:szCs w:val="22"/>
      <w:lang w:val="en-US" w:bidi="en-US"/>
    </w:rPr>
  </w:style>
  <w:style w:type="character" w:customStyle="1" w:styleId="Heading2Char">
    <w:name w:val="Heading 2 Char"/>
    <w:basedOn w:val="DefaultParagraphFont"/>
    <w:link w:val="Heading2"/>
    <w:uiPriority w:val="9"/>
    <w:rsid w:val="00D81C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D81C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37CD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37CD0"/>
    <w:rPr>
      <w:rFonts w:ascii="Times New Roman" w:eastAsia="Times New Roman" w:hAnsi="Times New Roman" w:cs="Times New Roman"/>
      <w:b/>
      <w:bCs/>
      <w:sz w:val="24"/>
      <w:szCs w:val="24"/>
    </w:rPr>
  </w:style>
  <w:style w:type="paragraph" w:customStyle="1" w:styleId="Default">
    <w:name w:val="Default"/>
    <w:rsid w:val="00A37CD0"/>
    <w:pPr>
      <w:autoSpaceDE w:val="0"/>
      <w:autoSpaceDN w:val="0"/>
      <w:adjustRightInd w:val="0"/>
    </w:pPr>
    <w:rPr>
      <w:rFonts w:eastAsia="Times New Roman"/>
      <w:color w:val="000000"/>
      <w:sz w:val="24"/>
      <w:szCs w:val="24"/>
      <w:lang w:eastAsia="en-AU"/>
    </w:rPr>
  </w:style>
  <w:style w:type="character" w:customStyle="1" w:styleId="NoSpacingChar">
    <w:name w:val="No Spacing Char"/>
    <w:link w:val="NoSpacing"/>
    <w:uiPriority w:val="1"/>
    <w:locked/>
    <w:rsid w:val="00CD5957"/>
    <w:rPr>
      <w:rFonts w:eastAsia="Calibri"/>
      <w:szCs w:val="22"/>
      <w:lang w:val="en-US" w:bidi="en-US"/>
    </w:rPr>
  </w:style>
  <w:style w:type="paragraph" w:styleId="NoSpacing">
    <w:name w:val="No Spacing"/>
    <w:basedOn w:val="Normal"/>
    <w:link w:val="NoSpacingChar"/>
    <w:uiPriority w:val="1"/>
    <w:qFormat/>
    <w:rsid w:val="00CD5957"/>
    <w:rPr>
      <w:rFonts w:eastAsia="Calibri"/>
      <w:szCs w:val="22"/>
      <w:lang w:val="en-US" w:bidi="en-US"/>
    </w:rPr>
  </w:style>
  <w:style w:type="character" w:customStyle="1" w:styleId="Heading2Char">
    <w:name w:val="Heading 2 Char"/>
    <w:basedOn w:val="DefaultParagraphFont"/>
    <w:link w:val="Heading2"/>
    <w:uiPriority w:val="9"/>
    <w:rsid w:val="00D81C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539900">
      <w:bodyDiv w:val="1"/>
      <w:marLeft w:val="0"/>
      <w:marRight w:val="0"/>
      <w:marTop w:val="0"/>
      <w:marBottom w:val="0"/>
      <w:divBdr>
        <w:top w:val="none" w:sz="0" w:space="0" w:color="auto"/>
        <w:left w:val="none" w:sz="0" w:space="0" w:color="auto"/>
        <w:bottom w:val="none" w:sz="0" w:space="0" w:color="auto"/>
        <w:right w:val="none" w:sz="0" w:space="0" w:color="auto"/>
      </w:divBdr>
    </w:div>
    <w:div w:id="1604414471">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2015-03-28T08:29:00Z</dcterms:created>
  <dcterms:modified xsi:type="dcterms:W3CDTF">2015-04-04T00:29:00Z</dcterms:modified>
</cp:coreProperties>
</file>